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A70AB" w:rsidRPr="00E00C0C" w:rsidTr="006668B6">
        <w:tc>
          <w:tcPr>
            <w:tcW w:w="4531" w:type="dxa"/>
          </w:tcPr>
          <w:p w:rsidR="00AA70AB" w:rsidRPr="00E00C0C" w:rsidRDefault="00AA70AB" w:rsidP="006668B6">
            <w:pPr>
              <w:rPr>
                <w:rFonts w:ascii="Garamond" w:hAnsi="Garamond"/>
              </w:rPr>
            </w:pPr>
            <w:r w:rsidRPr="00E00C0C">
              <w:rPr>
                <w:rFonts w:ascii="Garamond" w:hAnsi="Garamond"/>
              </w:rPr>
              <w:t xml:space="preserve">N° du Parquet : </w:t>
            </w:r>
          </w:p>
          <w:p w:rsidR="00AA70AB" w:rsidRPr="00E00C0C" w:rsidRDefault="00AA70AB" w:rsidP="0008583B">
            <w:pPr>
              <w:rPr>
                <w:rFonts w:ascii="Garamond" w:hAnsi="Garamond"/>
              </w:rPr>
            </w:pPr>
            <w:r w:rsidRPr="00E00C0C">
              <w:rPr>
                <w:rFonts w:ascii="Garamond" w:hAnsi="Garamond"/>
              </w:rPr>
              <w:t xml:space="preserve">Audience du </w:t>
            </w:r>
          </w:p>
        </w:tc>
        <w:tc>
          <w:tcPr>
            <w:tcW w:w="4531" w:type="dxa"/>
          </w:tcPr>
          <w:p w:rsidR="00AA70AB" w:rsidRPr="00E00C0C" w:rsidRDefault="00C44F6B" w:rsidP="00A774D8">
            <w:pPr>
              <w:jc w:val="right"/>
              <w:rPr>
                <w:rFonts w:ascii="Garamond" w:hAnsi="Garamond"/>
              </w:rPr>
            </w:pPr>
            <w:r w:rsidRPr="00E00C0C">
              <w:rPr>
                <w:rFonts w:ascii="Garamond" w:hAnsi="Garamond"/>
              </w:rPr>
              <w:t>À</w:t>
            </w:r>
            <w:r w:rsidR="00AA70AB" w:rsidRPr="00E00C0C">
              <w:rPr>
                <w:rFonts w:ascii="Garamond" w:hAnsi="Garamond"/>
              </w:rPr>
              <w:t xml:space="preserve"> Madame et Messieurs les </w:t>
            </w:r>
            <w:r w:rsidR="00AA70AB" w:rsidRPr="00E00C0C">
              <w:rPr>
                <w:rFonts w:ascii="Garamond" w:hAnsi="Garamond"/>
              </w:rPr>
              <w:br/>
              <w:t xml:space="preserve">Président et Assesseurs composant </w:t>
            </w:r>
            <w:r w:rsidR="00AA70AB" w:rsidRPr="00E00C0C">
              <w:rPr>
                <w:rFonts w:ascii="Garamond" w:hAnsi="Garamond"/>
              </w:rPr>
              <w:br/>
              <w:t>la 23</w:t>
            </w:r>
            <w:r w:rsidR="00AA70AB" w:rsidRPr="00E00C0C">
              <w:rPr>
                <w:rFonts w:ascii="Garamond" w:hAnsi="Garamond"/>
                <w:vertAlign w:val="superscript"/>
              </w:rPr>
              <w:t>e</w:t>
            </w:r>
            <w:r w:rsidR="00AA70AB" w:rsidRPr="00E00C0C">
              <w:rPr>
                <w:rFonts w:ascii="Garamond" w:hAnsi="Garamond"/>
              </w:rPr>
              <w:t xml:space="preserve"> Chambre correctionnelle </w:t>
            </w:r>
            <w:r w:rsidR="00AA70AB" w:rsidRPr="00E00C0C">
              <w:rPr>
                <w:rFonts w:ascii="Garamond" w:hAnsi="Garamond"/>
              </w:rPr>
              <w:br/>
              <w:t>du Tribunal de grande instance de Paris</w:t>
            </w:r>
          </w:p>
        </w:tc>
      </w:tr>
    </w:tbl>
    <w:p w:rsidR="00AA70AB" w:rsidRPr="00E00C0C" w:rsidRDefault="00AA70AB" w:rsidP="00AA70AB">
      <w:pPr>
        <w:rPr>
          <w:rFonts w:ascii="Garamond" w:hAnsi="Garamond"/>
        </w:rPr>
      </w:pPr>
      <w:bookmarkStart w:id="0" w:name="_GoBack"/>
      <w:bookmarkEnd w:id="0"/>
    </w:p>
    <w:p w:rsidR="00AA70AB" w:rsidRPr="00E00C0C" w:rsidRDefault="00AA70AB" w:rsidP="00AA70AB">
      <w:pPr>
        <w:rPr>
          <w:rFonts w:ascii="Garamond" w:hAnsi="Garamond"/>
        </w:rPr>
      </w:pPr>
    </w:p>
    <w:p w:rsidR="00AA70AB" w:rsidRPr="00E00C0C" w:rsidRDefault="00AA70AB" w:rsidP="00AA70AB">
      <w:pPr>
        <w:rPr>
          <w:rFonts w:ascii="Garamond" w:hAnsi="Garamond"/>
        </w:rPr>
      </w:pPr>
    </w:p>
    <w:p w:rsidR="00AA70AB" w:rsidRPr="00E00C0C" w:rsidRDefault="00AA70AB" w:rsidP="00AA70AB">
      <w:pPr>
        <w:jc w:val="center"/>
        <w:rPr>
          <w:rFonts w:ascii="Garamond" w:hAnsi="Garamond"/>
          <w:b/>
          <w:smallCaps/>
          <w:sz w:val="32"/>
          <w:szCs w:val="32"/>
        </w:rPr>
      </w:pPr>
      <w:r w:rsidRPr="00E00C0C">
        <w:rPr>
          <w:rFonts w:ascii="Garamond" w:hAnsi="Garamond"/>
          <w:b/>
          <w:smallCaps/>
          <w:sz w:val="32"/>
          <w:szCs w:val="32"/>
        </w:rPr>
        <w:t>Conclusions in limine litis</w:t>
      </w:r>
    </w:p>
    <w:p w:rsidR="00AA70AB" w:rsidRPr="00E00C0C" w:rsidRDefault="00AA70AB" w:rsidP="00AA70AB">
      <w:pPr>
        <w:rPr>
          <w:rFonts w:ascii="Garamond" w:hAnsi="Garamond"/>
        </w:rPr>
      </w:pPr>
    </w:p>
    <w:p w:rsidR="00AA70AB" w:rsidRPr="00E00C0C" w:rsidRDefault="00AA70AB" w:rsidP="00AA70AB">
      <w:pPr>
        <w:pStyle w:val="Body"/>
        <w:tabs>
          <w:tab w:val="left" w:pos="1260"/>
        </w:tabs>
        <w:ind w:left="1134" w:hanging="1134"/>
        <w:rPr>
          <w:rFonts w:ascii="Garamond" w:hAnsi="Garamond"/>
          <w:sz w:val="22"/>
          <w:szCs w:val="22"/>
        </w:rPr>
      </w:pPr>
      <w:r w:rsidRPr="00E00C0C">
        <w:rPr>
          <w:rFonts w:ascii="Garamond" w:hAnsi="Garamond"/>
          <w:b/>
          <w:sz w:val="22"/>
          <w:szCs w:val="22"/>
          <w:u w:val="single"/>
        </w:rPr>
        <w:t>POUR</w:t>
      </w:r>
      <w:r w:rsidRPr="00E00C0C">
        <w:rPr>
          <w:rFonts w:ascii="Garamond" w:hAnsi="Garamond"/>
          <w:b/>
          <w:sz w:val="22"/>
          <w:szCs w:val="22"/>
        </w:rPr>
        <w:t> :</w:t>
      </w:r>
      <w:r w:rsidRPr="00E00C0C">
        <w:rPr>
          <w:rFonts w:ascii="Garamond" w:hAnsi="Garamond"/>
          <w:sz w:val="22"/>
          <w:szCs w:val="22"/>
        </w:rPr>
        <w:t xml:space="preserve"> </w:t>
      </w:r>
      <w:r w:rsidRPr="00E00C0C">
        <w:rPr>
          <w:rFonts w:ascii="Garamond" w:hAnsi="Garamond"/>
          <w:sz w:val="22"/>
          <w:szCs w:val="22"/>
        </w:rPr>
        <w:tab/>
      </w:r>
      <w:r w:rsidR="00801C8E" w:rsidRPr="00E00C0C">
        <w:rPr>
          <w:rFonts w:ascii="Garamond" w:hAnsi="Garamond"/>
          <w:b/>
          <w:sz w:val="22"/>
          <w:szCs w:val="22"/>
        </w:rPr>
        <w:t xml:space="preserve">                                  </w:t>
      </w:r>
      <w:r w:rsidRPr="00E00C0C">
        <w:rPr>
          <w:rFonts w:ascii="Garamond" w:hAnsi="Garamond"/>
          <w:sz w:val="22"/>
          <w:szCs w:val="22"/>
        </w:rPr>
        <w:t>, né</w:t>
      </w:r>
      <w:r w:rsidR="00801C8E" w:rsidRPr="00E00C0C">
        <w:rPr>
          <w:rFonts w:ascii="Garamond" w:hAnsi="Garamond"/>
          <w:sz w:val="22"/>
          <w:szCs w:val="22"/>
        </w:rPr>
        <w:t xml:space="preserve">  </w:t>
      </w:r>
      <w:r w:rsidRPr="00E00C0C">
        <w:rPr>
          <w:rFonts w:ascii="Garamond" w:hAnsi="Garamond"/>
          <w:sz w:val="22"/>
          <w:szCs w:val="22"/>
        </w:rPr>
        <w:t xml:space="preserve">le </w:t>
      </w:r>
      <w:r w:rsidR="00801C8E" w:rsidRPr="00E00C0C">
        <w:rPr>
          <w:rFonts w:ascii="Garamond" w:hAnsi="Garamond"/>
          <w:sz w:val="22"/>
          <w:szCs w:val="22"/>
        </w:rPr>
        <w:t xml:space="preserve">                          </w:t>
      </w:r>
      <w:r w:rsidRPr="00E00C0C">
        <w:rPr>
          <w:rFonts w:ascii="Garamond" w:hAnsi="Garamond"/>
          <w:sz w:val="22"/>
          <w:szCs w:val="22"/>
        </w:rPr>
        <w:t xml:space="preserve">à </w:t>
      </w:r>
      <w:r w:rsidR="00801C8E" w:rsidRPr="00E00C0C">
        <w:rPr>
          <w:rFonts w:ascii="Garamond" w:hAnsi="Garamond"/>
          <w:sz w:val="22"/>
          <w:szCs w:val="22"/>
        </w:rPr>
        <w:t xml:space="preserve">                              </w:t>
      </w:r>
    </w:p>
    <w:p w:rsidR="00AA70AB" w:rsidRPr="00E00C0C" w:rsidRDefault="00AA70AB" w:rsidP="00AA70AB">
      <w:pPr>
        <w:pStyle w:val="Body"/>
        <w:tabs>
          <w:tab w:val="left" w:pos="1134"/>
        </w:tabs>
        <w:ind w:left="1134" w:hanging="1260"/>
        <w:rPr>
          <w:rFonts w:ascii="Garamond" w:hAnsi="Garamond"/>
          <w:sz w:val="22"/>
          <w:szCs w:val="22"/>
        </w:rPr>
      </w:pPr>
      <w:r w:rsidRPr="00E00C0C">
        <w:rPr>
          <w:rFonts w:ascii="Garamond" w:hAnsi="Garamond"/>
          <w:sz w:val="22"/>
          <w:szCs w:val="22"/>
        </w:rPr>
        <w:tab/>
      </w:r>
    </w:p>
    <w:p w:rsidR="00AA70AB" w:rsidRPr="00E00C0C" w:rsidRDefault="00AA70AB" w:rsidP="00AA70AB">
      <w:pPr>
        <w:pStyle w:val="Body"/>
        <w:tabs>
          <w:tab w:val="left" w:pos="1134"/>
        </w:tabs>
        <w:ind w:left="1134" w:hanging="1260"/>
        <w:rPr>
          <w:rFonts w:ascii="Garamond" w:hAnsi="Garamond"/>
          <w:sz w:val="22"/>
          <w:szCs w:val="22"/>
        </w:rPr>
      </w:pPr>
    </w:p>
    <w:p w:rsidR="00AA70AB" w:rsidRPr="00E00C0C" w:rsidRDefault="00AA70AB" w:rsidP="00AA70AB">
      <w:pPr>
        <w:pStyle w:val="Body"/>
        <w:tabs>
          <w:tab w:val="left" w:pos="1134"/>
        </w:tabs>
        <w:ind w:left="1968" w:hanging="1260"/>
        <w:jc w:val="right"/>
        <w:rPr>
          <w:rFonts w:ascii="Garamond" w:hAnsi="Garamond"/>
          <w:sz w:val="22"/>
          <w:szCs w:val="22"/>
        </w:rPr>
      </w:pPr>
      <w:r w:rsidRPr="00E00C0C">
        <w:rPr>
          <w:rFonts w:ascii="Garamond" w:hAnsi="Garamond"/>
          <w:sz w:val="22"/>
          <w:szCs w:val="22"/>
        </w:rPr>
        <w:tab/>
      </w:r>
    </w:p>
    <w:p w:rsidR="00AA70AB" w:rsidRPr="00E00C0C" w:rsidRDefault="00AA70AB" w:rsidP="00AA70AB">
      <w:pPr>
        <w:pStyle w:val="Body"/>
        <w:tabs>
          <w:tab w:val="left" w:pos="1134"/>
        </w:tabs>
        <w:ind w:left="1968" w:hanging="1260"/>
        <w:jc w:val="right"/>
        <w:rPr>
          <w:rFonts w:ascii="Garamond" w:hAnsi="Garamond"/>
          <w:sz w:val="22"/>
          <w:szCs w:val="22"/>
        </w:rPr>
      </w:pPr>
    </w:p>
    <w:p w:rsidR="00AA70AB" w:rsidRPr="00E00C0C" w:rsidRDefault="00AA70AB" w:rsidP="00AA70AB">
      <w:pPr>
        <w:pStyle w:val="Body"/>
        <w:tabs>
          <w:tab w:val="left" w:pos="1134"/>
        </w:tabs>
        <w:ind w:left="1968" w:hanging="1260"/>
        <w:jc w:val="right"/>
        <w:rPr>
          <w:rFonts w:ascii="Garamond" w:hAnsi="Garamond"/>
          <w:sz w:val="22"/>
          <w:szCs w:val="22"/>
        </w:rPr>
      </w:pPr>
      <w:r w:rsidRPr="00E00C0C">
        <w:rPr>
          <w:rFonts w:ascii="Garamond" w:hAnsi="Garamond"/>
          <w:sz w:val="22"/>
          <w:szCs w:val="22"/>
        </w:rPr>
        <w:t>Ci-après, le « </w:t>
      </w:r>
      <w:r w:rsidRPr="00E00C0C">
        <w:rPr>
          <w:rFonts w:ascii="Garamond" w:hAnsi="Garamond"/>
          <w:b/>
          <w:sz w:val="22"/>
          <w:szCs w:val="22"/>
        </w:rPr>
        <w:t>Concluant</w:t>
      </w:r>
      <w:r w:rsidRPr="00E00C0C">
        <w:rPr>
          <w:rFonts w:ascii="Garamond" w:hAnsi="Garamond"/>
          <w:sz w:val="22"/>
          <w:szCs w:val="22"/>
        </w:rPr>
        <w:t> »,</w:t>
      </w:r>
    </w:p>
    <w:p w:rsidR="00AA70AB" w:rsidRPr="00E00C0C" w:rsidRDefault="00AA70AB" w:rsidP="00AA70AB">
      <w:pPr>
        <w:pStyle w:val="Body"/>
        <w:tabs>
          <w:tab w:val="left" w:pos="1134"/>
        </w:tabs>
        <w:ind w:left="1134" w:hanging="1260"/>
        <w:rPr>
          <w:rFonts w:ascii="Garamond" w:hAnsi="Garamond"/>
          <w:i/>
          <w:sz w:val="22"/>
          <w:szCs w:val="22"/>
        </w:rPr>
      </w:pPr>
      <w:r w:rsidRPr="00E00C0C">
        <w:rPr>
          <w:rFonts w:ascii="Garamond" w:hAnsi="Garamond"/>
          <w:sz w:val="22"/>
          <w:szCs w:val="22"/>
        </w:rPr>
        <w:tab/>
      </w:r>
    </w:p>
    <w:p w:rsidR="00AA70AB" w:rsidRPr="00E00C0C" w:rsidRDefault="00AA70AB" w:rsidP="00AA70AB">
      <w:pPr>
        <w:pStyle w:val="Body"/>
        <w:tabs>
          <w:tab w:val="left" w:pos="1260"/>
        </w:tabs>
        <w:spacing w:after="0"/>
        <w:ind w:left="3958"/>
        <w:rPr>
          <w:rFonts w:ascii="Garamond" w:hAnsi="Garamond"/>
          <w:b/>
          <w:sz w:val="22"/>
          <w:szCs w:val="22"/>
        </w:rPr>
      </w:pPr>
      <w:r w:rsidRPr="00E00C0C">
        <w:rPr>
          <w:rFonts w:ascii="Garamond" w:hAnsi="Garamond"/>
          <w:b/>
          <w:sz w:val="22"/>
          <w:szCs w:val="22"/>
          <w:u w:val="single"/>
        </w:rPr>
        <w:t>Ayant pour Avocat</w:t>
      </w:r>
      <w:r w:rsidRPr="00E00C0C">
        <w:rPr>
          <w:rFonts w:ascii="Garamond" w:hAnsi="Garamond"/>
          <w:b/>
          <w:sz w:val="22"/>
          <w:szCs w:val="22"/>
        </w:rPr>
        <w:t> :</w:t>
      </w:r>
    </w:p>
    <w:p w:rsidR="00AA70AB" w:rsidRPr="00E00C0C" w:rsidRDefault="00AA70AB" w:rsidP="00AA70AB">
      <w:pPr>
        <w:pStyle w:val="Body"/>
        <w:tabs>
          <w:tab w:val="left" w:pos="1260"/>
        </w:tabs>
        <w:spacing w:after="0"/>
        <w:ind w:left="3958"/>
        <w:rPr>
          <w:rFonts w:ascii="Garamond" w:hAnsi="Garamond"/>
          <w:b/>
          <w:sz w:val="22"/>
          <w:szCs w:val="22"/>
        </w:rPr>
      </w:pPr>
    </w:p>
    <w:p w:rsidR="00AA70AB" w:rsidRPr="00E00C0C" w:rsidRDefault="00AA70AB" w:rsidP="00AA70AB">
      <w:pPr>
        <w:pStyle w:val="Body"/>
        <w:tabs>
          <w:tab w:val="left" w:pos="1260"/>
        </w:tabs>
        <w:spacing w:after="0"/>
        <w:ind w:left="3958"/>
        <w:rPr>
          <w:rFonts w:ascii="Garamond" w:hAnsi="Garamond"/>
          <w:b/>
          <w:sz w:val="22"/>
          <w:szCs w:val="22"/>
        </w:rPr>
      </w:pPr>
    </w:p>
    <w:p w:rsidR="00AA70AB" w:rsidRPr="00E00C0C" w:rsidRDefault="00AA70AB" w:rsidP="00AA70AB">
      <w:pPr>
        <w:pStyle w:val="Body"/>
        <w:tabs>
          <w:tab w:val="left" w:pos="1260"/>
        </w:tabs>
        <w:ind w:left="1260" w:hanging="1260"/>
        <w:rPr>
          <w:rFonts w:ascii="Garamond" w:hAnsi="Garamond"/>
          <w:b/>
          <w:sz w:val="22"/>
          <w:szCs w:val="22"/>
          <w:u w:val="single"/>
        </w:rPr>
      </w:pPr>
    </w:p>
    <w:p w:rsidR="00AA70AB" w:rsidRPr="00E00C0C" w:rsidRDefault="00AA70AB" w:rsidP="00AA70AB">
      <w:pPr>
        <w:pStyle w:val="Body"/>
        <w:tabs>
          <w:tab w:val="left" w:pos="1260"/>
        </w:tabs>
        <w:ind w:left="1260" w:hanging="1260"/>
        <w:rPr>
          <w:rFonts w:ascii="Garamond" w:hAnsi="Garamond"/>
          <w:b/>
          <w:sz w:val="22"/>
          <w:szCs w:val="22"/>
          <w:u w:val="single"/>
        </w:rPr>
      </w:pPr>
    </w:p>
    <w:p w:rsidR="00AA70AB" w:rsidRPr="00E00C0C" w:rsidRDefault="00AA70AB" w:rsidP="00AA70AB">
      <w:pPr>
        <w:pStyle w:val="Body"/>
        <w:tabs>
          <w:tab w:val="left" w:pos="1260"/>
        </w:tabs>
        <w:ind w:left="1260" w:hanging="1260"/>
        <w:rPr>
          <w:rFonts w:ascii="Garamond" w:hAnsi="Garamond"/>
          <w:b/>
          <w:sz w:val="22"/>
          <w:szCs w:val="22"/>
          <w:u w:val="single"/>
        </w:rPr>
      </w:pPr>
    </w:p>
    <w:p w:rsidR="00AA70AB" w:rsidRPr="00E00C0C" w:rsidRDefault="00AA70AB" w:rsidP="00AA70AB">
      <w:pPr>
        <w:pStyle w:val="Body"/>
        <w:tabs>
          <w:tab w:val="left" w:pos="1260"/>
        </w:tabs>
        <w:ind w:left="1260" w:hanging="1260"/>
        <w:rPr>
          <w:rFonts w:ascii="Garamond" w:hAnsi="Garamond"/>
          <w:b/>
          <w:sz w:val="22"/>
          <w:szCs w:val="22"/>
          <w:u w:val="single"/>
        </w:rPr>
      </w:pPr>
    </w:p>
    <w:p w:rsidR="00AA70AB" w:rsidRPr="00E00C0C" w:rsidRDefault="00AA70AB" w:rsidP="00AA70AB">
      <w:pPr>
        <w:pStyle w:val="Body"/>
        <w:tabs>
          <w:tab w:val="left" w:pos="1260"/>
        </w:tabs>
        <w:ind w:left="1260" w:hanging="1260"/>
        <w:rPr>
          <w:rFonts w:ascii="Garamond" w:hAnsi="Garamond"/>
          <w:b/>
          <w:sz w:val="22"/>
          <w:szCs w:val="22"/>
          <w:u w:val="single"/>
        </w:rPr>
      </w:pPr>
    </w:p>
    <w:p w:rsidR="00AA70AB" w:rsidRPr="00E00C0C" w:rsidRDefault="00AA70AB" w:rsidP="00AA70AB">
      <w:pPr>
        <w:pStyle w:val="Body"/>
        <w:tabs>
          <w:tab w:val="left" w:pos="1260"/>
        </w:tabs>
        <w:ind w:left="1260" w:hanging="1260"/>
        <w:rPr>
          <w:rFonts w:ascii="Garamond" w:hAnsi="Garamond"/>
          <w:b/>
          <w:sz w:val="22"/>
          <w:szCs w:val="22"/>
          <w:u w:val="single"/>
        </w:rPr>
      </w:pPr>
    </w:p>
    <w:p w:rsidR="00AA70AB" w:rsidRPr="00E00C0C" w:rsidRDefault="00AA70AB" w:rsidP="00AA70AB">
      <w:pPr>
        <w:pStyle w:val="Body"/>
        <w:tabs>
          <w:tab w:val="left" w:pos="1260"/>
        </w:tabs>
        <w:ind w:left="1260" w:hanging="1260"/>
        <w:rPr>
          <w:rFonts w:ascii="Garamond" w:hAnsi="Garamond"/>
          <w:b/>
          <w:sz w:val="22"/>
          <w:szCs w:val="22"/>
          <w:u w:val="single"/>
        </w:rPr>
      </w:pPr>
    </w:p>
    <w:p w:rsidR="00AA70AB" w:rsidRPr="00E00C0C" w:rsidRDefault="00AA70AB" w:rsidP="00AA70AB">
      <w:pPr>
        <w:pStyle w:val="Body"/>
        <w:tabs>
          <w:tab w:val="left" w:pos="1260"/>
        </w:tabs>
        <w:ind w:left="1260" w:hanging="1260"/>
        <w:rPr>
          <w:rFonts w:ascii="Garamond" w:hAnsi="Garamond"/>
          <w:b/>
          <w:sz w:val="22"/>
          <w:szCs w:val="22"/>
          <w:u w:val="single"/>
        </w:rPr>
      </w:pPr>
    </w:p>
    <w:p w:rsidR="00AA70AB" w:rsidRPr="00E00C0C" w:rsidRDefault="00AA70AB" w:rsidP="00AA70AB">
      <w:pPr>
        <w:pStyle w:val="Body"/>
        <w:tabs>
          <w:tab w:val="left" w:pos="1260"/>
        </w:tabs>
        <w:ind w:left="1260" w:hanging="1260"/>
        <w:rPr>
          <w:rFonts w:ascii="Garamond" w:hAnsi="Garamond"/>
          <w:b/>
          <w:sz w:val="22"/>
          <w:szCs w:val="22"/>
          <w:u w:val="single"/>
        </w:rPr>
      </w:pPr>
    </w:p>
    <w:p w:rsidR="00AA70AB" w:rsidRPr="00E00C0C" w:rsidRDefault="00AA70AB" w:rsidP="00AA70AB">
      <w:pPr>
        <w:pStyle w:val="Body"/>
        <w:tabs>
          <w:tab w:val="left" w:pos="1260"/>
        </w:tabs>
        <w:ind w:left="1260" w:hanging="1260"/>
        <w:rPr>
          <w:rFonts w:ascii="Garamond" w:hAnsi="Garamond"/>
        </w:rPr>
      </w:pPr>
      <w:r w:rsidRPr="00E00C0C">
        <w:rPr>
          <w:rFonts w:ascii="Garamond" w:hAnsi="Garamond"/>
          <w:b/>
          <w:sz w:val="22"/>
          <w:szCs w:val="22"/>
          <w:u w:val="single"/>
        </w:rPr>
        <w:t>CONTRE</w:t>
      </w:r>
      <w:r w:rsidRPr="00E00C0C">
        <w:rPr>
          <w:rFonts w:ascii="Garamond" w:hAnsi="Garamond"/>
          <w:b/>
          <w:sz w:val="22"/>
          <w:szCs w:val="22"/>
        </w:rPr>
        <w:t> :</w:t>
      </w:r>
      <w:r w:rsidRPr="00E00C0C">
        <w:rPr>
          <w:rFonts w:ascii="Garamond" w:hAnsi="Garamond"/>
          <w:sz w:val="22"/>
          <w:szCs w:val="22"/>
        </w:rPr>
        <w:t xml:space="preserve"> </w:t>
      </w:r>
      <w:r w:rsidRPr="00E00C0C">
        <w:rPr>
          <w:rFonts w:ascii="Garamond" w:hAnsi="Garamond"/>
          <w:sz w:val="22"/>
          <w:szCs w:val="22"/>
        </w:rPr>
        <w:tab/>
      </w:r>
      <w:r w:rsidRPr="00E00C0C">
        <w:rPr>
          <w:rFonts w:ascii="Garamond" w:hAnsi="Garamond"/>
          <w:b/>
          <w:bCs/>
          <w:sz w:val="22"/>
          <w:szCs w:val="22"/>
        </w:rPr>
        <w:t>le Ministère public</w:t>
      </w:r>
      <w:r w:rsidRPr="00E00C0C">
        <w:rPr>
          <w:rFonts w:ascii="Garamond" w:hAnsi="Garamond"/>
          <w:b/>
          <w:sz w:val="22"/>
          <w:szCs w:val="22"/>
        </w:rPr>
        <w:t xml:space="preserve"> </w:t>
      </w:r>
      <w:r w:rsidRPr="00E00C0C">
        <w:rPr>
          <w:rFonts w:ascii="Garamond" w:hAnsi="Garamond"/>
        </w:rPr>
        <w:br w:type="page"/>
      </w:r>
    </w:p>
    <w:p w:rsidR="00AA70AB" w:rsidRPr="00E00C0C" w:rsidRDefault="00AA70AB" w:rsidP="00AA70AB">
      <w:pPr>
        <w:jc w:val="center"/>
        <w:rPr>
          <w:rFonts w:ascii="Garamond" w:hAnsi="Garamond"/>
          <w:b/>
          <w:smallCaps/>
          <w:sz w:val="28"/>
          <w:szCs w:val="28"/>
        </w:rPr>
      </w:pPr>
      <w:r w:rsidRPr="00E00C0C">
        <w:rPr>
          <w:rFonts w:ascii="Garamond" w:hAnsi="Garamond"/>
          <w:b/>
          <w:smallCaps/>
          <w:sz w:val="28"/>
          <w:szCs w:val="28"/>
        </w:rPr>
        <w:lastRenderedPageBreak/>
        <w:t xml:space="preserve">Plaise </w:t>
      </w:r>
      <w:r w:rsidR="00FA28B7">
        <w:rPr>
          <w:rFonts w:ascii="Garamond" w:hAnsi="Garamond"/>
          <w:b/>
          <w:smallCaps/>
          <w:sz w:val="28"/>
          <w:szCs w:val="28"/>
        </w:rPr>
        <w:t>a</w:t>
      </w:r>
      <w:r w:rsidRPr="00E00C0C">
        <w:rPr>
          <w:rFonts w:ascii="Garamond" w:hAnsi="Garamond"/>
          <w:b/>
          <w:smallCaps/>
          <w:sz w:val="28"/>
          <w:szCs w:val="28"/>
        </w:rPr>
        <w:t xml:space="preserve">u Tribunal </w:t>
      </w:r>
    </w:p>
    <w:p w:rsidR="00AA70AB" w:rsidRPr="00E00C0C" w:rsidRDefault="00AA70AB" w:rsidP="00AA70AB">
      <w:pPr>
        <w:rPr>
          <w:rFonts w:ascii="Garamond" w:hAnsi="Garamond"/>
        </w:rPr>
      </w:pPr>
    </w:p>
    <w:p w:rsidR="00AA70AB" w:rsidRPr="00267C3E" w:rsidRDefault="00DF77A4" w:rsidP="00267C3E">
      <w:pPr>
        <w:pStyle w:val="Paragraphedeliste1"/>
        <w:spacing w:line="276" w:lineRule="auto"/>
        <w:rPr>
          <w:sz w:val="23"/>
          <w:szCs w:val="23"/>
        </w:rPr>
      </w:pPr>
      <w:r w:rsidRPr="00267C3E">
        <w:rPr>
          <w:sz w:val="23"/>
          <w:szCs w:val="23"/>
        </w:rPr>
        <w:t>Le Concluant</w:t>
      </w:r>
      <w:r w:rsidR="00AA70AB" w:rsidRPr="00267C3E">
        <w:rPr>
          <w:sz w:val="23"/>
          <w:szCs w:val="23"/>
        </w:rPr>
        <w:t xml:space="preserve"> </w:t>
      </w:r>
      <w:r w:rsidR="00955455" w:rsidRPr="00267C3E">
        <w:rPr>
          <w:sz w:val="23"/>
          <w:szCs w:val="23"/>
        </w:rPr>
        <w:t>est renvoyé devant le Tribunal de céans pour avoir</w:t>
      </w:r>
    </w:p>
    <w:p w:rsidR="00CB4AF7" w:rsidRPr="00267C3E" w:rsidRDefault="00CB4AF7" w:rsidP="00267C3E">
      <w:pPr>
        <w:pStyle w:val="Paragraphedeliste1"/>
        <w:numPr>
          <w:ilvl w:val="0"/>
          <w:numId w:val="0"/>
        </w:numPr>
        <w:spacing w:line="276" w:lineRule="auto"/>
        <w:ind w:left="720" w:hanging="360"/>
        <w:rPr>
          <w:sz w:val="23"/>
          <w:szCs w:val="23"/>
        </w:rPr>
      </w:pPr>
    </w:p>
    <w:p w:rsidR="00AA70AB" w:rsidRPr="00267C3E" w:rsidRDefault="00432F3B" w:rsidP="00267C3E">
      <w:pPr>
        <w:pStyle w:val="Paragraphenormal"/>
        <w:spacing w:line="276" w:lineRule="auto"/>
        <w:rPr>
          <w:sz w:val="23"/>
          <w:szCs w:val="23"/>
        </w:rPr>
      </w:pPr>
      <w:r w:rsidRPr="00267C3E">
        <w:rPr>
          <w:i/>
          <w:sz w:val="23"/>
          <w:szCs w:val="23"/>
        </w:rPr>
        <w:t>In limine litis</w:t>
      </w:r>
      <w:r w:rsidRPr="00267C3E">
        <w:rPr>
          <w:sz w:val="23"/>
          <w:szCs w:val="23"/>
        </w:rPr>
        <w:t>, pour les raisons ci-apr</w:t>
      </w:r>
      <w:r w:rsidR="00C44F6B" w:rsidRPr="00267C3E">
        <w:rPr>
          <w:sz w:val="23"/>
          <w:szCs w:val="23"/>
        </w:rPr>
        <w:t>è</w:t>
      </w:r>
      <w:r w:rsidRPr="00267C3E">
        <w:rPr>
          <w:sz w:val="23"/>
          <w:szCs w:val="23"/>
        </w:rPr>
        <w:t>s exposées,</w:t>
      </w:r>
      <w:r w:rsidR="00DF77A4" w:rsidRPr="00267C3E">
        <w:rPr>
          <w:sz w:val="23"/>
          <w:szCs w:val="23"/>
        </w:rPr>
        <w:t xml:space="preserve"> le Concluant </w:t>
      </w:r>
      <w:r w:rsidRPr="00267C3E">
        <w:rPr>
          <w:sz w:val="23"/>
          <w:szCs w:val="23"/>
        </w:rPr>
        <w:t>soulève la nullité de son interpellation dans le cadre d’une procédure de flagrant délit et, partant, la nullité de toutes les mesures de contrainte et de tous les actes d’enquête et de procédures subséquentes</w:t>
      </w:r>
      <w:r w:rsidR="00CB4AF7" w:rsidRPr="00267C3E">
        <w:rPr>
          <w:sz w:val="23"/>
          <w:szCs w:val="23"/>
        </w:rPr>
        <w:t>, en ce compris la saisine du Tribunal de céans</w:t>
      </w:r>
      <w:r w:rsidRPr="00267C3E">
        <w:rPr>
          <w:sz w:val="23"/>
          <w:szCs w:val="23"/>
        </w:rPr>
        <w:t>.</w:t>
      </w:r>
    </w:p>
    <w:p w:rsidR="000C7E06" w:rsidRPr="00267C3E" w:rsidRDefault="000C7E06" w:rsidP="00267C3E">
      <w:pPr>
        <w:pStyle w:val="Paragraphenormal"/>
        <w:spacing w:line="276" w:lineRule="auto"/>
        <w:rPr>
          <w:sz w:val="23"/>
          <w:szCs w:val="23"/>
        </w:rPr>
      </w:pPr>
    </w:p>
    <w:p w:rsidR="000C7E06" w:rsidRPr="00267C3E" w:rsidRDefault="000C7E06" w:rsidP="00267C3E">
      <w:pPr>
        <w:pStyle w:val="Paragraphenormal"/>
        <w:spacing w:line="276" w:lineRule="auto"/>
        <w:rPr>
          <w:sz w:val="23"/>
          <w:szCs w:val="23"/>
        </w:rPr>
      </w:pPr>
    </w:p>
    <w:p w:rsidR="000C7E06" w:rsidRPr="00267C3E" w:rsidRDefault="000C7E06" w:rsidP="00267C3E">
      <w:pPr>
        <w:pStyle w:val="Paragraphenormal"/>
        <w:numPr>
          <w:ilvl w:val="0"/>
          <w:numId w:val="7"/>
        </w:numPr>
        <w:spacing w:line="276" w:lineRule="auto"/>
        <w:rPr>
          <w:b/>
          <w:sz w:val="23"/>
          <w:szCs w:val="23"/>
          <w:u w:val="single"/>
        </w:rPr>
      </w:pPr>
      <w:r w:rsidRPr="00267C3E">
        <w:rPr>
          <w:b/>
          <w:sz w:val="23"/>
          <w:szCs w:val="23"/>
          <w:u w:val="single"/>
        </w:rPr>
        <w:t>Rappel des faits et de la procédure</w:t>
      </w:r>
    </w:p>
    <w:p w:rsidR="000C7E06" w:rsidRPr="00267C3E" w:rsidRDefault="000C7E06" w:rsidP="00267C3E">
      <w:pPr>
        <w:pStyle w:val="Paragraphedeliste1"/>
        <w:numPr>
          <w:ilvl w:val="0"/>
          <w:numId w:val="0"/>
        </w:numPr>
        <w:spacing w:line="276" w:lineRule="auto"/>
        <w:ind w:left="720"/>
        <w:rPr>
          <w:sz w:val="23"/>
          <w:szCs w:val="23"/>
        </w:rPr>
      </w:pPr>
    </w:p>
    <w:p w:rsidR="000C7E06" w:rsidRPr="00267C3E" w:rsidRDefault="000C7E06" w:rsidP="00267C3E">
      <w:pPr>
        <w:pStyle w:val="Paragraphedeliste1"/>
        <w:spacing w:line="276" w:lineRule="auto"/>
        <w:rPr>
          <w:sz w:val="23"/>
          <w:szCs w:val="23"/>
        </w:rPr>
      </w:pPr>
      <w:r w:rsidRPr="00267C3E">
        <w:rPr>
          <w:sz w:val="23"/>
          <w:szCs w:val="23"/>
        </w:rPr>
        <w:t xml:space="preserve"> </w:t>
      </w:r>
    </w:p>
    <w:p w:rsidR="000C7E06" w:rsidRPr="00267C3E" w:rsidRDefault="000C7E06" w:rsidP="00267C3E">
      <w:pPr>
        <w:pStyle w:val="Paragraphedeliste1"/>
        <w:numPr>
          <w:ilvl w:val="0"/>
          <w:numId w:val="0"/>
        </w:numPr>
        <w:spacing w:line="276" w:lineRule="auto"/>
        <w:ind w:left="720"/>
        <w:rPr>
          <w:sz w:val="23"/>
          <w:szCs w:val="23"/>
        </w:rPr>
      </w:pPr>
    </w:p>
    <w:p w:rsidR="00F645EA" w:rsidRPr="00267C3E" w:rsidRDefault="00F645EA" w:rsidP="00267C3E">
      <w:pPr>
        <w:pStyle w:val="Paragraphedeliste1"/>
        <w:numPr>
          <w:ilvl w:val="0"/>
          <w:numId w:val="0"/>
        </w:numPr>
        <w:spacing w:line="276" w:lineRule="auto"/>
        <w:ind w:left="720"/>
        <w:rPr>
          <w:sz w:val="23"/>
          <w:szCs w:val="23"/>
        </w:rPr>
      </w:pPr>
    </w:p>
    <w:p w:rsidR="00A774D8" w:rsidRPr="00267C3E" w:rsidRDefault="00A774D8" w:rsidP="00267C3E">
      <w:pPr>
        <w:pStyle w:val="Paragraphedeliste1"/>
        <w:numPr>
          <w:ilvl w:val="0"/>
          <w:numId w:val="0"/>
        </w:numPr>
        <w:spacing w:line="276" w:lineRule="auto"/>
        <w:ind w:left="720"/>
        <w:rPr>
          <w:sz w:val="23"/>
          <w:szCs w:val="23"/>
        </w:rPr>
      </w:pPr>
    </w:p>
    <w:p w:rsidR="00A774D8" w:rsidRPr="00267C3E" w:rsidRDefault="00A774D8" w:rsidP="00267C3E">
      <w:pPr>
        <w:pStyle w:val="Paragraphedeliste1"/>
        <w:numPr>
          <w:ilvl w:val="0"/>
          <w:numId w:val="0"/>
        </w:numPr>
        <w:spacing w:line="276" w:lineRule="auto"/>
        <w:ind w:left="720"/>
        <w:rPr>
          <w:sz w:val="23"/>
          <w:szCs w:val="23"/>
        </w:rPr>
      </w:pPr>
    </w:p>
    <w:p w:rsidR="00A774D8" w:rsidRPr="00267C3E" w:rsidRDefault="00A774D8" w:rsidP="00267C3E">
      <w:pPr>
        <w:pStyle w:val="Paragraphedeliste1"/>
        <w:numPr>
          <w:ilvl w:val="0"/>
          <w:numId w:val="0"/>
        </w:numPr>
        <w:spacing w:line="276" w:lineRule="auto"/>
        <w:ind w:left="720"/>
        <w:rPr>
          <w:sz w:val="23"/>
          <w:szCs w:val="23"/>
        </w:rPr>
      </w:pPr>
    </w:p>
    <w:p w:rsidR="00A774D8" w:rsidRPr="00267C3E" w:rsidRDefault="00A774D8" w:rsidP="00267C3E">
      <w:pPr>
        <w:pStyle w:val="Paragraphedeliste1"/>
        <w:numPr>
          <w:ilvl w:val="0"/>
          <w:numId w:val="0"/>
        </w:numPr>
        <w:spacing w:line="276" w:lineRule="auto"/>
        <w:ind w:left="720"/>
        <w:rPr>
          <w:sz w:val="23"/>
          <w:szCs w:val="23"/>
        </w:rPr>
      </w:pPr>
    </w:p>
    <w:p w:rsidR="00A774D8" w:rsidRPr="00267C3E" w:rsidRDefault="00A774D8" w:rsidP="00267C3E">
      <w:pPr>
        <w:pStyle w:val="Paragraphedeliste1"/>
        <w:numPr>
          <w:ilvl w:val="0"/>
          <w:numId w:val="0"/>
        </w:numPr>
        <w:spacing w:line="276" w:lineRule="auto"/>
        <w:ind w:left="720"/>
        <w:rPr>
          <w:sz w:val="23"/>
          <w:szCs w:val="23"/>
        </w:rPr>
      </w:pPr>
    </w:p>
    <w:p w:rsidR="00A774D8" w:rsidRPr="00267C3E" w:rsidRDefault="00A774D8" w:rsidP="00267C3E">
      <w:pPr>
        <w:pStyle w:val="Paragraphedeliste1"/>
        <w:numPr>
          <w:ilvl w:val="0"/>
          <w:numId w:val="0"/>
        </w:numPr>
        <w:spacing w:line="276" w:lineRule="auto"/>
        <w:ind w:left="720"/>
        <w:rPr>
          <w:sz w:val="23"/>
          <w:szCs w:val="23"/>
        </w:rPr>
      </w:pPr>
    </w:p>
    <w:p w:rsidR="00A774D8" w:rsidRPr="00267C3E" w:rsidRDefault="00A774D8" w:rsidP="00267C3E">
      <w:pPr>
        <w:pStyle w:val="Paragraphedeliste1"/>
        <w:numPr>
          <w:ilvl w:val="0"/>
          <w:numId w:val="0"/>
        </w:numPr>
        <w:spacing w:line="276" w:lineRule="auto"/>
        <w:ind w:left="720"/>
        <w:rPr>
          <w:sz w:val="23"/>
          <w:szCs w:val="23"/>
        </w:rPr>
      </w:pPr>
    </w:p>
    <w:p w:rsidR="00A774D8" w:rsidRPr="00267C3E" w:rsidRDefault="00A774D8" w:rsidP="00267C3E">
      <w:pPr>
        <w:pStyle w:val="Paragraphedeliste1"/>
        <w:numPr>
          <w:ilvl w:val="0"/>
          <w:numId w:val="0"/>
        </w:numPr>
        <w:spacing w:line="276" w:lineRule="auto"/>
        <w:ind w:left="720"/>
        <w:rPr>
          <w:sz w:val="23"/>
          <w:szCs w:val="23"/>
        </w:rPr>
      </w:pPr>
    </w:p>
    <w:p w:rsidR="00A774D8" w:rsidRPr="00267C3E" w:rsidRDefault="00A774D8" w:rsidP="00267C3E">
      <w:pPr>
        <w:pStyle w:val="Paragraphedeliste1"/>
        <w:numPr>
          <w:ilvl w:val="0"/>
          <w:numId w:val="0"/>
        </w:numPr>
        <w:spacing w:line="276" w:lineRule="auto"/>
        <w:ind w:left="720"/>
        <w:rPr>
          <w:sz w:val="23"/>
          <w:szCs w:val="23"/>
        </w:rPr>
      </w:pPr>
    </w:p>
    <w:p w:rsidR="00A774D8" w:rsidRPr="00267C3E" w:rsidRDefault="00A774D8" w:rsidP="00267C3E">
      <w:pPr>
        <w:pStyle w:val="Paragraphedeliste1"/>
        <w:numPr>
          <w:ilvl w:val="0"/>
          <w:numId w:val="0"/>
        </w:numPr>
        <w:spacing w:line="276" w:lineRule="auto"/>
        <w:ind w:left="720"/>
        <w:rPr>
          <w:sz w:val="23"/>
          <w:szCs w:val="23"/>
        </w:rPr>
      </w:pPr>
    </w:p>
    <w:p w:rsidR="00A774D8" w:rsidRPr="00267C3E" w:rsidRDefault="00A774D8" w:rsidP="00267C3E">
      <w:pPr>
        <w:pStyle w:val="Paragraphedeliste1"/>
        <w:numPr>
          <w:ilvl w:val="0"/>
          <w:numId w:val="0"/>
        </w:numPr>
        <w:spacing w:line="276" w:lineRule="auto"/>
        <w:ind w:left="720"/>
        <w:rPr>
          <w:sz w:val="23"/>
          <w:szCs w:val="23"/>
        </w:rPr>
      </w:pPr>
    </w:p>
    <w:p w:rsidR="00A774D8" w:rsidRPr="00267C3E" w:rsidRDefault="00A774D8" w:rsidP="00267C3E">
      <w:pPr>
        <w:pStyle w:val="Paragraphedeliste1"/>
        <w:numPr>
          <w:ilvl w:val="0"/>
          <w:numId w:val="0"/>
        </w:numPr>
        <w:spacing w:line="276" w:lineRule="auto"/>
        <w:ind w:left="720"/>
        <w:rPr>
          <w:sz w:val="23"/>
          <w:szCs w:val="23"/>
        </w:rPr>
      </w:pPr>
    </w:p>
    <w:p w:rsidR="00A774D8" w:rsidRPr="00267C3E" w:rsidRDefault="00A774D8" w:rsidP="00267C3E">
      <w:pPr>
        <w:pStyle w:val="Paragraphedeliste1"/>
        <w:numPr>
          <w:ilvl w:val="0"/>
          <w:numId w:val="0"/>
        </w:numPr>
        <w:spacing w:line="276" w:lineRule="auto"/>
        <w:ind w:left="720"/>
        <w:rPr>
          <w:sz w:val="23"/>
          <w:szCs w:val="23"/>
        </w:rPr>
      </w:pPr>
    </w:p>
    <w:p w:rsidR="00A774D8" w:rsidRPr="00267C3E" w:rsidRDefault="00A774D8" w:rsidP="00267C3E">
      <w:pPr>
        <w:pStyle w:val="Paragraphedeliste1"/>
        <w:numPr>
          <w:ilvl w:val="0"/>
          <w:numId w:val="0"/>
        </w:numPr>
        <w:spacing w:line="276" w:lineRule="auto"/>
        <w:ind w:left="720"/>
        <w:rPr>
          <w:sz w:val="23"/>
          <w:szCs w:val="23"/>
        </w:rPr>
      </w:pPr>
    </w:p>
    <w:p w:rsidR="00A774D8" w:rsidRPr="00267C3E" w:rsidRDefault="00A774D8" w:rsidP="00267C3E">
      <w:pPr>
        <w:pStyle w:val="Paragraphedeliste1"/>
        <w:numPr>
          <w:ilvl w:val="0"/>
          <w:numId w:val="0"/>
        </w:numPr>
        <w:spacing w:line="276" w:lineRule="auto"/>
        <w:ind w:left="720"/>
        <w:rPr>
          <w:sz w:val="23"/>
          <w:szCs w:val="23"/>
        </w:rPr>
      </w:pPr>
    </w:p>
    <w:p w:rsidR="00A774D8" w:rsidRPr="00267C3E" w:rsidRDefault="00A774D8" w:rsidP="00267C3E">
      <w:pPr>
        <w:pStyle w:val="Paragraphedeliste1"/>
        <w:numPr>
          <w:ilvl w:val="0"/>
          <w:numId w:val="0"/>
        </w:numPr>
        <w:spacing w:line="276" w:lineRule="auto"/>
        <w:ind w:left="720"/>
        <w:rPr>
          <w:sz w:val="23"/>
          <w:szCs w:val="23"/>
        </w:rPr>
      </w:pPr>
    </w:p>
    <w:p w:rsidR="00A774D8" w:rsidRPr="00267C3E" w:rsidRDefault="00A774D8" w:rsidP="00267C3E">
      <w:pPr>
        <w:pStyle w:val="Paragraphedeliste1"/>
        <w:numPr>
          <w:ilvl w:val="0"/>
          <w:numId w:val="0"/>
        </w:numPr>
        <w:spacing w:line="276" w:lineRule="auto"/>
        <w:ind w:left="720"/>
        <w:rPr>
          <w:sz w:val="23"/>
          <w:szCs w:val="23"/>
        </w:rPr>
      </w:pPr>
    </w:p>
    <w:p w:rsidR="00A774D8" w:rsidRPr="00267C3E" w:rsidRDefault="00A774D8" w:rsidP="00267C3E">
      <w:pPr>
        <w:pStyle w:val="Paragraphedeliste1"/>
        <w:numPr>
          <w:ilvl w:val="0"/>
          <w:numId w:val="0"/>
        </w:numPr>
        <w:spacing w:line="276" w:lineRule="auto"/>
        <w:ind w:left="720"/>
        <w:rPr>
          <w:sz w:val="23"/>
          <w:szCs w:val="23"/>
        </w:rPr>
      </w:pPr>
    </w:p>
    <w:p w:rsidR="00A774D8" w:rsidRPr="00267C3E" w:rsidRDefault="00A774D8" w:rsidP="00267C3E">
      <w:pPr>
        <w:pStyle w:val="Paragraphedeliste1"/>
        <w:numPr>
          <w:ilvl w:val="0"/>
          <w:numId w:val="0"/>
        </w:numPr>
        <w:spacing w:line="276" w:lineRule="auto"/>
        <w:ind w:left="720"/>
        <w:rPr>
          <w:sz w:val="23"/>
          <w:szCs w:val="23"/>
        </w:rPr>
      </w:pPr>
    </w:p>
    <w:p w:rsidR="00A774D8" w:rsidRPr="00267C3E" w:rsidRDefault="00A774D8" w:rsidP="00267C3E">
      <w:pPr>
        <w:pStyle w:val="Paragraphedeliste1"/>
        <w:numPr>
          <w:ilvl w:val="0"/>
          <w:numId w:val="0"/>
        </w:numPr>
        <w:spacing w:line="276" w:lineRule="auto"/>
        <w:ind w:left="720"/>
        <w:rPr>
          <w:sz w:val="23"/>
          <w:szCs w:val="23"/>
        </w:rPr>
      </w:pPr>
    </w:p>
    <w:p w:rsidR="00A774D8" w:rsidRPr="00267C3E" w:rsidRDefault="00A774D8" w:rsidP="00267C3E">
      <w:pPr>
        <w:pStyle w:val="Paragraphedeliste1"/>
        <w:numPr>
          <w:ilvl w:val="0"/>
          <w:numId w:val="0"/>
        </w:numPr>
        <w:spacing w:line="276" w:lineRule="auto"/>
        <w:ind w:left="720"/>
        <w:rPr>
          <w:sz w:val="23"/>
          <w:szCs w:val="23"/>
        </w:rPr>
      </w:pPr>
    </w:p>
    <w:p w:rsidR="00A774D8" w:rsidRPr="00267C3E" w:rsidRDefault="00A774D8" w:rsidP="00267C3E">
      <w:pPr>
        <w:pStyle w:val="Paragraphedeliste1"/>
        <w:numPr>
          <w:ilvl w:val="0"/>
          <w:numId w:val="0"/>
        </w:numPr>
        <w:spacing w:line="276" w:lineRule="auto"/>
        <w:ind w:left="720"/>
        <w:rPr>
          <w:sz w:val="23"/>
          <w:szCs w:val="23"/>
        </w:rPr>
      </w:pPr>
    </w:p>
    <w:p w:rsidR="00A65C42" w:rsidRPr="00267C3E" w:rsidRDefault="00A65C42" w:rsidP="00267C3E">
      <w:pPr>
        <w:spacing w:line="276" w:lineRule="auto"/>
        <w:rPr>
          <w:rFonts w:ascii="Garamond" w:hAnsi="Garamond"/>
          <w:b/>
          <w:sz w:val="23"/>
          <w:szCs w:val="23"/>
          <w:u w:val="single"/>
        </w:rPr>
      </w:pPr>
      <w:r w:rsidRPr="00267C3E">
        <w:rPr>
          <w:b/>
          <w:sz w:val="23"/>
          <w:szCs w:val="23"/>
          <w:u w:val="single"/>
        </w:rPr>
        <w:br w:type="page"/>
      </w:r>
    </w:p>
    <w:p w:rsidR="00F645EA" w:rsidRPr="00267C3E" w:rsidRDefault="00F645EA" w:rsidP="00267C3E">
      <w:pPr>
        <w:pStyle w:val="Paragraphenormal"/>
        <w:numPr>
          <w:ilvl w:val="0"/>
          <w:numId w:val="7"/>
        </w:numPr>
        <w:spacing w:line="276" w:lineRule="auto"/>
        <w:rPr>
          <w:b/>
          <w:sz w:val="23"/>
          <w:szCs w:val="23"/>
          <w:u w:val="single"/>
        </w:rPr>
      </w:pPr>
      <w:r w:rsidRPr="00267C3E">
        <w:rPr>
          <w:b/>
          <w:sz w:val="23"/>
          <w:szCs w:val="23"/>
          <w:u w:val="single"/>
        </w:rPr>
        <w:lastRenderedPageBreak/>
        <w:t>Discussion</w:t>
      </w:r>
    </w:p>
    <w:p w:rsidR="007E10BB" w:rsidRPr="00267C3E" w:rsidRDefault="007E10BB" w:rsidP="00267C3E">
      <w:pPr>
        <w:pStyle w:val="Paragraphenormal"/>
        <w:spacing w:line="276" w:lineRule="auto"/>
        <w:ind w:left="1440"/>
        <w:rPr>
          <w:b/>
          <w:sz w:val="23"/>
          <w:szCs w:val="23"/>
          <w:u w:val="single"/>
        </w:rPr>
      </w:pPr>
    </w:p>
    <w:p w:rsidR="007E10BB" w:rsidRPr="00267C3E" w:rsidRDefault="007E10BB" w:rsidP="00267C3E">
      <w:pPr>
        <w:pStyle w:val="Paragraphenormal"/>
        <w:numPr>
          <w:ilvl w:val="1"/>
          <w:numId w:val="7"/>
        </w:numPr>
        <w:spacing w:line="276" w:lineRule="auto"/>
        <w:rPr>
          <w:b/>
          <w:sz w:val="23"/>
          <w:szCs w:val="23"/>
        </w:rPr>
      </w:pPr>
      <w:r w:rsidRPr="00267C3E">
        <w:rPr>
          <w:b/>
          <w:sz w:val="23"/>
          <w:szCs w:val="23"/>
        </w:rPr>
        <w:t>Sur le droit applicable</w:t>
      </w:r>
    </w:p>
    <w:p w:rsidR="00F645EA" w:rsidRPr="00267C3E" w:rsidRDefault="00F645EA" w:rsidP="00267C3E">
      <w:pPr>
        <w:pStyle w:val="Paragraphenormal"/>
        <w:spacing w:line="276" w:lineRule="auto"/>
        <w:ind w:left="1440"/>
        <w:rPr>
          <w:b/>
          <w:sz w:val="23"/>
          <w:szCs w:val="23"/>
          <w:u w:val="single"/>
        </w:rPr>
      </w:pPr>
    </w:p>
    <w:p w:rsidR="00935359" w:rsidRPr="00267C3E" w:rsidRDefault="00935359" w:rsidP="00267C3E">
      <w:pPr>
        <w:pStyle w:val="Paragraphedeliste1"/>
        <w:spacing w:line="276" w:lineRule="auto"/>
        <w:rPr>
          <w:sz w:val="23"/>
          <w:szCs w:val="23"/>
        </w:rPr>
      </w:pPr>
      <w:bookmarkStart w:id="1" w:name="_Toc473027986"/>
      <w:r w:rsidRPr="00267C3E">
        <w:rPr>
          <w:sz w:val="23"/>
          <w:szCs w:val="23"/>
        </w:rPr>
        <w:t xml:space="preserve">L’article 5 de la Convention européenne de sauvegarde des droits de l’homme garantit le droit à la liberté et à la sûreté : </w:t>
      </w:r>
    </w:p>
    <w:p w:rsidR="00935359" w:rsidRPr="00267C3E" w:rsidRDefault="00935359" w:rsidP="00267C3E">
      <w:pPr>
        <w:pStyle w:val="Paragraphedeliste1"/>
        <w:numPr>
          <w:ilvl w:val="0"/>
          <w:numId w:val="0"/>
        </w:numPr>
        <w:spacing w:line="276" w:lineRule="auto"/>
        <w:ind w:left="720"/>
        <w:rPr>
          <w:sz w:val="23"/>
          <w:szCs w:val="23"/>
        </w:rPr>
      </w:pPr>
    </w:p>
    <w:p w:rsidR="00935359" w:rsidRPr="00267C3E" w:rsidRDefault="00935359" w:rsidP="00267C3E">
      <w:pPr>
        <w:pStyle w:val="Paragraphedeliste1"/>
        <w:numPr>
          <w:ilvl w:val="0"/>
          <w:numId w:val="0"/>
        </w:numPr>
        <w:spacing w:line="276" w:lineRule="auto"/>
        <w:ind w:left="1416"/>
        <w:rPr>
          <w:sz w:val="23"/>
          <w:szCs w:val="23"/>
        </w:rPr>
      </w:pPr>
      <w:r w:rsidRPr="00267C3E">
        <w:rPr>
          <w:sz w:val="23"/>
          <w:szCs w:val="23"/>
        </w:rPr>
        <w:t xml:space="preserve">« </w:t>
      </w:r>
      <w:r w:rsidRPr="00267C3E">
        <w:rPr>
          <w:i/>
          <w:sz w:val="23"/>
          <w:szCs w:val="23"/>
        </w:rPr>
        <w:t>nul ne peut être privé de sa liberté, sauf dans les cas suivants et selon les voies légales : (…) c) s’il a été arrêté et détenu en vue d’être conduit devant l’autorité judiciaire compétente, lorsqu’il y a des raisons plausibles de soupçonner qu’il a commis une infraction ou qu’il y a des motifs raisonnables de croire à la nécessité de l’empêcher de commettre une infraction ou de s’enfuir après l’accomplissement de celle-ci</w:t>
      </w:r>
      <w:r w:rsidRPr="00267C3E">
        <w:rPr>
          <w:sz w:val="23"/>
          <w:szCs w:val="23"/>
        </w:rPr>
        <w:t xml:space="preserve"> ».</w:t>
      </w:r>
    </w:p>
    <w:p w:rsidR="00935359" w:rsidRPr="00267C3E" w:rsidRDefault="00935359" w:rsidP="00267C3E">
      <w:pPr>
        <w:pStyle w:val="Paragraphedeliste1"/>
        <w:numPr>
          <w:ilvl w:val="0"/>
          <w:numId w:val="0"/>
        </w:numPr>
        <w:spacing w:line="276" w:lineRule="auto"/>
        <w:ind w:left="720"/>
        <w:rPr>
          <w:sz w:val="23"/>
          <w:szCs w:val="23"/>
        </w:rPr>
      </w:pPr>
    </w:p>
    <w:p w:rsidR="00FA28B7" w:rsidRPr="00267C3E" w:rsidRDefault="00FA28B7" w:rsidP="00267C3E">
      <w:pPr>
        <w:pStyle w:val="Paragraphedeliste1"/>
        <w:spacing w:line="276" w:lineRule="auto"/>
        <w:rPr>
          <w:sz w:val="23"/>
          <w:szCs w:val="23"/>
        </w:rPr>
      </w:pPr>
      <w:r w:rsidRPr="00267C3E">
        <w:rPr>
          <w:sz w:val="23"/>
          <w:szCs w:val="23"/>
        </w:rPr>
        <w:t>Aux termes de l’article préliminaire du Code de procédure pénale (« </w:t>
      </w:r>
      <w:r w:rsidRPr="00267C3E">
        <w:rPr>
          <w:b/>
          <w:sz w:val="23"/>
          <w:szCs w:val="23"/>
        </w:rPr>
        <w:t>CPP</w:t>
      </w:r>
      <w:r w:rsidRPr="00267C3E">
        <w:rPr>
          <w:sz w:val="23"/>
          <w:szCs w:val="23"/>
        </w:rPr>
        <w:t> »), « </w:t>
      </w:r>
      <w:r w:rsidRPr="00267C3E">
        <w:rPr>
          <w:i/>
          <w:sz w:val="23"/>
          <w:szCs w:val="23"/>
        </w:rPr>
        <w:t xml:space="preserve">les </w:t>
      </w:r>
      <w:r w:rsidRPr="00267C3E">
        <w:rPr>
          <w:b/>
          <w:i/>
          <w:sz w:val="23"/>
          <w:szCs w:val="23"/>
        </w:rPr>
        <w:t>mesures de contrainte</w:t>
      </w:r>
      <w:r w:rsidRPr="00267C3E">
        <w:rPr>
          <w:i/>
          <w:sz w:val="23"/>
          <w:szCs w:val="23"/>
        </w:rPr>
        <w:t xml:space="preserve"> dont la personne suspectée ou poursuivie peut faire l’objet (…) doivent être strictement limitées aux nécessités de la procédure</w:t>
      </w:r>
      <w:r w:rsidRPr="00267C3E">
        <w:rPr>
          <w:sz w:val="23"/>
          <w:szCs w:val="23"/>
        </w:rPr>
        <w:t xml:space="preserve"> » et </w:t>
      </w:r>
      <w:r w:rsidRPr="00267C3E">
        <w:rPr>
          <w:i/>
          <w:sz w:val="23"/>
          <w:szCs w:val="23"/>
        </w:rPr>
        <w:t>« </w:t>
      </w:r>
      <w:r w:rsidRPr="00267C3E">
        <w:rPr>
          <w:b/>
          <w:i/>
          <w:sz w:val="23"/>
          <w:szCs w:val="23"/>
        </w:rPr>
        <w:t>proportionnées à la gravité de l’infraction reprochée</w:t>
      </w:r>
      <w:r w:rsidRPr="00267C3E">
        <w:rPr>
          <w:sz w:val="23"/>
          <w:szCs w:val="23"/>
        </w:rPr>
        <w:t> ».</w:t>
      </w:r>
      <w:bookmarkEnd w:id="1"/>
    </w:p>
    <w:p w:rsidR="00FA28B7" w:rsidRPr="00267C3E" w:rsidRDefault="00FA28B7" w:rsidP="00267C3E">
      <w:pPr>
        <w:pStyle w:val="Paragraphedeliste1"/>
        <w:numPr>
          <w:ilvl w:val="0"/>
          <w:numId w:val="0"/>
        </w:numPr>
        <w:spacing w:line="276" w:lineRule="auto"/>
        <w:ind w:left="720"/>
        <w:rPr>
          <w:sz w:val="23"/>
          <w:szCs w:val="23"/>
        </w:rPr>
      </w:pPr>
    </w:p>
    <w:p w:rsidR="00FA28B7" w:rsidRPr="00267C3E" w:rsidRDefault="00FA28B7" w:rsidP="00267C3E">
      <w:pPr>
        <w:pStyle w:val="Paragraphedeliste1"/>
        <w:spacing w:line="276" w:lineRule="auto"/>
        <w:rPr>
          <w:sz w:val="23"/>
          <w:szCs w:val="23"/>
        </w:rPr>
      </w:pPr>
      <w:bookmarkStart w:id="2" w:name="_Toc473027987"/>
      <w:r w:rsidRPr="00267C3E">
        <w:rPr>
          <w:sz w:val="23"/>
          <w:szCs w:val="23"/>
        </w:rPr>
        <w:t>Selon l’article 67 CPP, les dispositions relatives à l’enquête de flagrance ne s’appliquent au flagrant délit que « </w:t>
      </w:r>
      <w:r w:rsidRPr="00267C3E">
        <w:rPr>
          <w:i/>
          <w:sz w:val="23"/>
          <w:szCs w:val="23"/>
        </w:rPr>
        <w:t xml:space="preserve">dans tous les cas où la loi prévoit une </w:t>
      </w:r>
      <w:r w:rsidRPr="00267C3E">
        <w:rPr>
          <w:b/>
          <w:i/>
          <w:sz w:val="23"/>
          <w:szCs w:val="23"/>
        </w:rPr>
        <w:t>peine d’emprisonnement</w:t>
      </w:r>
      <w:r w:rsidRPr="00267C3E">
        <w:rPr>
          <w:sz w:val="23"/>
          <w:szCs w:val="23"/>
        </w:rPr>
        <w:t> ».</w:t>
      </w:r>
      <w:bookmarkEnd w:id="2"/>
    </w:p>
    <w:p w:rsidR="00FA28B7" w:rsidRPr="00267C3E" w:rsidRDefault="00FA28B7" w:rsidP="00267C3E">
      <w:pPr>
        <w:pStyle w:val="Paragraphedeliste1"/>
        <w:numPr>
          <w:ilvl w:val="0"/>
          <w:numId w:val="0"/>
        </w:numPr>
        <w:spacing w:line="276" w:lineRule="auto"/>
        <w:ind w:left="720"/>
        <w:rPr>
          <w:sz w:val="23"/>
          <w:szCs w:val="23"/>
        </w:rPr>
      </w:pPr>
      <w:bookmarkStart w:id="3" w:name="_Toc473027988"/>
    </w:p>
    <w:p w:rsidR="00FA28B7" w:rsidRPr="00267C3E" w:rsidRDefault="00FA28B7" w:rsidP="00267C3E">
      <w:pPr>
        <w:pStyle w:val="Paragraphedeliste1"/>
        <w:spacing w:line="276" w:lineRule="auto"/>
        <w:rPr>
          <w:sz w:val="23"/>
          <w:szCs w:val="23"/>
        </w:rPr>
      </w:pPr>
      <w:r w:rsidRPr="00267C3E">
        <w:rPr>
          <w:sz w:val="23"/>
          <w:szCs w:val="23"/>
        </w:rPr>
        <w:t>L’article 73 alinéa 1</w:t>
      </w:r>
      <w:r w:rsidRPr="00267C3E">
        <w:rPr>
          <w:sz w:val="23"/>
          <w:szCs w:val="23"/>
          <w:vertAlign w:val="superscript"/>
        </w:rPr>
        <w:t>er</w:t>
      </w:r>
      <w:r w:rsidRPr="00267C3E">
        <w:rPr>
          <w:sz w:val="23"/>
          <w:szCs w:val="23"/>
        </w:rPr>
        <w:t xml:space="preserve"> CPP dispose que :</w:t>
      </w:r>
    </w:p>
    <w:p w:rsidR="00FA28B7" w:rsidRPr="00267C3E" w:rsidRDefault="00FA28B7" w:rsidP="00267C3E">
      <w:pPr>
        <w:pStyle w:val="Paragraphedeliste1"/>
        <w:numPr>
          <w:ilvl w:val="0"/>
          <w:numId w:val="0"/>
        </w:numPr>
        <w:spacing w:line="276" w:lineRule="auto"/>
        <w:ind w:left="720"/>
        <w:rPr>
          <w:sz w:val="23"/>
          <w:szCs w:val="23"/>
        </w:rPr>
      </w:pPr>
    </w:p>
    <w:p w:rsidR="00FA28B7" w:rsidRPr="00267C3E" w:rsidRDefault="00FA28B7" w:rsidP="00267C3E">
      <w:pPr>
        <w:pStyle w:val="Paragraphedeliste1"/>
        <w:numPr>
          <w:ilvl w:val="0"/>
          <w:numId w:val="0"/>
        </w:numPr>
        <w:spacing w:line="276" w:lineRule="auto"/>
        <w:ind w:left="1416"/>
        <w:rPr>
          <w:sz w:val="23"/>
          <w:szCs w:val="23"/>
        </w:rPr>
      </w:pPr>
      <w:r w:rsidRPr="00267C3E">
        <w:rPr>
          <w:sz w:val="23"/>
          <w:szCs w:val="23"/>
        </w:rPr>
        <w:t>« </w:t>
      </w:r>
      <w:r w:rsidRPr="00267C3E">
        <w:rPr>
          <w:i/>
          <w:sz w:val="23"/>
          <w:szCs w:val="23"/>
        </w:rPr>
        <w:t xml:space="preserve">Dans les cas de crime flagrant ou de </w:t>
      </w:r>
      <w:r w:rsidRPr="00267C3E">
        <w:rPr>
          <w:b/>
          <w:i/>
          <w:sz w:val="23"/>
          <w:szCs w:val="23"/>
          <w:u w:val="single"/>
        </w:rPr>
        <w:t>délit flagrant puni d’une peine d’emprisonnement</w:t>
      </w:r>
      <w:r w:rsidRPr="00267C3E">
        <w:rPr>
          <w:i/>
          <w:sz w:val="23"/>
          <w:szCs w:val="23"/>
        </w:rPr>
        <w:t>, toute personne a qualité pour en appréhender l’auteur et le conduire devant l’officier de police judiciaire le plus proche</w:t>
      </w:r>
      <w:r w:rsidRPr="00267C3E">
        <w:rPr>
          <w:sz w:val="23"/>
          <w:szCs w:val="23"/>
        </w:rPr>
        <w:t xml:space="preserve"> ». </w:t>
      </w:r>
    </w:p>
    <w:p w:rsidR="00FA28B7" w:rsidRPr="00267C3E" w:rsidRDefault="00FA28B7" w:rsidP="00267C3E">
      <w:pPr>
        <w:pStyle w:val="Paragraphedeliste1"/>
        <w:numPr>
          <w:ilvl w:val="0"/>
          <w:numId w:val="0"/>
        </w:numPr>
        <w:spacing w:line="276" w:lineRule="auto"/>
        <w:ind w:left="720"/>
        <w:rPr>
          <w:sz w:val="23"/>
          <w:szCs w:val="23"/>
        </w:rPr>
      </w:pPr>
    </w:p>
    <w:p w:rsidR="00FA28B7" w:rsidRPr="00267C3E" w:rsidRDefault="00FA28B7" w:rsidP="00267C3E">
      <w:pPr>
        <w:pStyle w:val="Paragraphedeliste1"/>
        <w:numPr>
          <w:ilvl w:val="0"/>
          <w:numId w:val="0"/>
        </w:numPr>
        <w:spacing w:line="276" w:lineRule="auto"/>
        <w:ind w:left="720"/>
        <w:rPr>
          <w:sz w:val="23"/>
          <w:szCs w:val="23"/>
        </w:rPr>
      </w:pPr>
      <w:r w:rsidRPr="00267C3E">
        <w:rPr>
          <w:sz w:val="23"/>
          <w:szCs w:val="23"/>
        </w:rPr>
        <w:t>Le second alinéa précise notamment que « </w:t>
      </w:r>
      <w:r w:rsidRPr="00267C3E">
        <w:rPr>
          <w:i/>
          <w:sz w:val="23"/>
          <w:szCs w:val="23"/>
        </w:rPr>
        <w:t>si la personne a été conduite, sous contrainte, par la force publique devant l’officier de police judiciaire</w:t>
      </w:r>
      <w:r w:rsidRPr="00267C3E">
        <w:rPr>
          <w:sz w:val="23"/>
          <w:szCs w:val="23"/>
        </w:rPr>
        <w:t> », son placement en garde à vue est inévitable.</w:t>
      </w:r>
      <w:bookmarkEnd w:id="3"/>
    </w:p>
    <w:p w:rsidR="00FA28B7" w:rsidRPr="00267C3E" w:rsidRDefault="00FA28B7" w:rsidP="00267C3E">
      <w:pPr>
        <w:pStyle w:val="Paragraphedeliste1"/>
        <w:numPr>
          <w:ilvl w:val="0"/>
          <w:numId w:val="0"/>
        </w:numPr>
        <w:spacing w:line="276" w:lineRule="auto"/>
        <w:ind w:left="720"/>
        <w:rPr>
          <w:sz w:val="23"/>
          <w:szCs w:val="23"/>
        </w:rPr>
      </w:pPr>
      <w:bookmarkStart w:id="4" w:name="_Toc473027989"/>
    </w:p>
    <w:p w:rsidR="00FA28B7" w:rsidRPr="00267C3E" w:rsidRDefault="00FA28B7" w:rsidP="00267C3E">
      <w:pPr>
        <w:pStyle w:val="Paragraphedeliste1"/>
        <w:spacing w:line="276" w:lineRule="auto"/>
        <w:rPr>
          <w:sz w:val="23"/>
          <w:szCs w:val="23"/>
        </w:rPr>
      </w:pPr>
      <w:r w:rsidRPr="00267C3E">
        <w:rPr>
          <w:sz w:val="23"/>
          <w:szCs w:val="23"/>
        </w:rPr>
        <w:t xml:space="preserve">Il résulte de cette disposition que l’interpellation d’un individu n’est régulière que si, au moment où la flagrance est retenue, les faits constatés encourent une qualification criminelle ou, à défaut, une </w:t>
      </w:r>
      <w:r w:rsidRPr="00267C3E">
        <w:rPr>
          <w:b/>
          <w:sz w:val="23"/>
          <w:szCs w:val="23"/>
        </w:rPr>
        <w:t>qualification délictuelle qui soit punissable d’une peine d’emprisonnement</w:t>
      </w:r>
      <w:r w:rsidRPr="00267C3E">
        <w:rPr>
          <w:sz w:val="23"/>
          <w:szCs w:val="23"/>
        </w:rPr>
        <w:t>.</w:t>
      </w:r>
      <w:bookmarkEnd w:id="4"/>
      <w:r w:rsidRPr="00267C3E">
        <w:rPr>
          <w:sz w:val="23"/>
          <w:szCs w:val="23"/>
        </w:rPr>
        <w:t xml:space="preserve"> </w:t>
      </w:r>
    </w:p>
    <w:p w:rsidR="007C5F46" w:rsidRPr="00267C3E" w:rsidRDefault="007C5F46" w:rsidP="00267C3E">
      <w:pPr>
        <w:pStyle w:val="Paragraphedeliste1"/>
        <w:numPr>
          <w:ilvl w:val="0"/>
          <w:numId w:val="0"/>
        </w:numPr>
        <w:spacing w:line="276" w:lineRule="auto"/>
        <w:ind w:left="720"/>
        <w:rPr>
          <w:sz w:val="23"/>
          <w:szCs w:val="23"/>
        </w:rPr>
      </w:pPr>
      <w:bookmarkStart w:id="5" w:name="_Toc473027990"/>
    </w:p>
    <w:p w:rsidR="00FA28B7" w:rsidRPr="00267C3E" w:rsidRDefault="00FA28B7" w:rsidP="00267C3E">
      <w:pPr>
        <w:pStyle w:val="Paragraphedeliste1"/>
        <w:numPr>
          <w:ilvl w:val="0"/>
          <w:numId w:val="0"/>
        </w:numPr>
        <w:spacing w:line="276" w:lineRule="auto"/>
        <w:ind w:left="720"/>
        <w:rPr>
          <w:sz w:val="23"/>
          <w:szCs w:val="23"/>
        </w:rPr>
      </w:pPr>
      <w:r w:rsidRPr="00267C3E">
        <w:rPr>
          <w:sz w:val="23"/>
          <w:szCs w:val="23"/>
        </w:rPr>
        <w:t xml:space="preserve">Certes, la jurisprudence de la Chambre criminelle de la Cour de cassation rappelle qu’on ne peut tirer argument de la seule circonstance qu’au terme de la procédure, les faits poursuivis aient reçu </w:t>
      </w:r>
      <w:r w:rsidRPr="00267C3E">
        <w:rPr>
          <w:i/>
          <w:sz w:val="23"/>
          <w:szCs w:val="23"/>
        </w:rPr>
        <w:t xml:space="preserve">in fine </w:t>
      </w:r>
      <w:r w:rsidRPr="00267C3E">
        <w:rPr>
          <w:sz w:val="23"/>
          <w:szCs w:val="23"/>
        </w:rPr>
        <w:t>une qualification contraventionnelle pour invalider rétroactivement une interpellation faite en état de flagrant délit</w:t>
      </w:r>
      <w:r w:rsidRPr="00267C3E">
        <w:rPr>
          <w:sz w:val="23"/>
          <w:szCs w:val="23"/>
          <w:vertAlign w:val="superscript"/>
        </w:rPr>
        <w:footnoteReference w:id="1"/>
      </w:r>
      <w:r w:rsidRPr="00267C3E">
        <w:rPr>
          <w:sz w:val="23"/>
          <w:szCs w:val="23"/>
        </w:rPr>
        <w:t>.</w:t>
      </w:r>
      <w:bookmarkEnd w:id="5"/>
      <w:r w:rsidRPr="00267C3E">
        <w:rPr>
          <w:sz w:val="23"/>
          <w:szCs w:val="23"/>
        </w:rPr>
        <w:t xml:space="preserve"> </w:t>
      </w:r>
    </w:p>
    <w:p w:rsidR="007C5F46" w:rsidRPr="00267C3E" w:rsidRDefault="007C5F46" w:rsidP="00267C3E">
      <w:pPr>
        <w:pStyle w:val="Paragraphedeliste1"/>
        <w:numPr>
          <w:ilvl w:val="0"/>
          <w:numId w:val="0"/>
        </w:numPr>
        <w:spacing w:line="276" w:lineRule="auto"/>
        <w:ind w:left="720"/>
        <w:rPr>
          <w:sz w:val="23"/>
          <w:szCs w:val="23"/>
        </w:rPr>
      </w:pPr>
    </w:p>
    <w:p w:rsidR="008A1E41" w:rsidRPr="00267C3E" w:rsidRDefault="00FA28B7" w:rsidP="00267C3E">
      <w:pPr>
        <w:pStyle w:val="Paragraphedeliste1"/>
        <w:spacing w:line="276" w:lineRule="auto"/>
        <w:rPr>
          <w:sz w:val="23"/>
          <w:szCs w:val="23"/>
        </w:rPr>
      </w:pPr>
      <w:bookmarkStart w:id="6" w:name="_Toc473027991"/>
      <w:r w:rsidRPr="00267C3E">
        <w:rPr>
          <w:sz w:val="23"/>
          <w:szCs w:val="23"/>
        </w:rPr>
        <w:t xml:space="preserve">Toutefois, </w:t>
      </w:r>
      <w:r w:rsidRPr="00267C3E">
        <w:rPr>
          <w:b/>
          <w:sz w:val="23"/>
          <w:szCs w:val="23"/>
        </w:rPr>
        <w:t>au moment de la constatation de l’infraction, l’apparence de délit flagrant doit être objectivement caractérisée</w:t>
      </w:r>
      <w:r w:rsidRPr="00267C3E">
        <w:rPr>
          <w:sz w:val="23"/>
          <w:szCs w:val="23"/>
        </w:rPr>
        <w:t>. La Chambre criminelle de la Cour de cassation a jugé que, « </w:t>
      </w:r>
      <w:r w:rsidRPr="00267C3E">
        <w:rPr>
          <w:i/>
          <w:sz w:val="23"/>
          <w:szCs w:val="23"/>
        </w:rPr>
        <w:t xml:space="preserve">pour être caractérisé, l’état de flagrance nécessite que des </w:t>
      </w:r>
      <w:r w:rsidRPr="00267C3E">
        <w:rPr>
          <w:b/>
          <w:i/>
          <w:sz w:val="23"/>
          <w:szCs w:val="23"/>
          <w:u w:val="single"/>
        </w:rPr>
        <w:t>indices apparents d’un comportement délictueux</w:t>
      </w:r>
      <w:r w:rsidRPr="00267C3E">
        <w:rPr>
          <w:i/>
          <w:sz w:val="23"/>
          <w:szCs w:val="23"/>
        </w:rPr>
        <w:t xml:space="preserve"> </w:t>
      </w:r>
      <w:r w:rsidRPr="00267C3E">
        <w:rPr>
          <w:b/>
          <w:i/>
          <w:sz w:val="23"/>
          <w:szCs w:val="23"/>
        </w:rPr>
        <w:t>révèlent l’existence d’une infraction répondant à la définition de l’article 53 du Code de procédure pénale</w:t>
      </w:r>
      <w:r w:rsidRPr="00267C3E">
        <w:rPr>
          <w:sz w:val="23"/>
          <w:szCs w:val="23"/>
        </w:rPr>
        <w:t> »</w:t>
      </w:r>
      <w:r w:rsidRPr="00267C3E">
        <w:rPr>
          <w:sz w:val="23"/>
          <w:szCs w:val="23"/>
          <w:vertAlign w:val="superscript"/>
        </w:rPr>
        <w:footnoteReference w:id="2"/>
      </w:r>
      <w:r w:rsidRPr="00267C3E">
        <w:rPr>
          <w:sz w:val="23"/>
          <w:szCs w:val="23"/>
        </w:rPr>
        <w:t xml:space="preserve">. </w:t>
      </w:r>
    </w:p>
    <w:p w:rsidR="008A1E41" w:rsidRPr="00267C3E" w:rsidRDefault="008A1E41" w:rsidP="00267C3E">
      <w:pPr>
        <w:pStyle w:val="Paragraphedeliste1"/>
        <w:numPr>
          <w:ilvl w:val="0"/>
          <w:numId w:val="0"/>
        </w:numPr>
        <w:spacing w:line="276" w:lineRule="auto"/>
        <w:ind w:left="720"/>
        <w:rPr>
          <w:sz w:val="23"/>
          <w:szCs w:val="23"/>
        </w:rPr>
      </w:pPr>
    </w:p>
    <w:p w:rsidR="00FA28B7" w:rsidRPr="00267C3E" w:rsidRDefault="00FA28B7" w:rsidP="00267C3E">
      <w:pPr>
        <w:pStyle w:val="Paragraphedeliste1"/>
        <w:numPr>
          <w:ilvl w:val="0"/>
          <w:numId w:val="0"/>
        </w:numPr>
        <w:spacing w:line="276" w:lineRule="auto"/>
        <w:ind w:left="720"/>
        <w:rPr>
          <w:sz w:val="23"/>
          <w:szCs w:val="23"/>
        </w:rPr>
      </w:pPr>
      <w:r w:rsidRPr="00267C3E">
        <w:rPr>
          <w:sz w:val="23"/>
          <w:szCs w:val="23"/>
        </w:rPr>
        <w:lastRenderedPageBreak/>
        <w:t xml:space="preserve">Elle a ainsi censuré à plusieurs reprises des juges du fond ayant insuffisamment vérifié que les enquêteurs avaient relevé des </w:t>
      </w:r>
      <w:r w:rsidRPr="00267C3E">
        <w:rPr>
          <w:sz w:val="23"/>
          <w:szCs w:val="23"/>
          <w:u w:val="single"/>
        </w:rPr>
        <w:t>indices apparents</w:t>
      </w:r>
      <w:r w:rsidRPr="00267C3E">
        <w:rPr>
          <w:sz w:val="23"/>
          <w:szCs w:val="23"/>
        </w:rPr>
        <w:t xml:space="preserve"> d’un comportement délictueux révélant l’existence d’une infraction punie d’emprisonnement</w:t>
      </w:r>
      <w:r w:rsidRPr="00267C3E">
        <w:rPr>
          <w:sz w:val="23"/>
          <w:szCs w:val="23"/>
          <w:vertAlign w:val="superscript"/>
        </w:rPr>
        <w:footnoteReference w:id="3"/>
      </w:r>
      <w:r w:rsidRPr="00267C3E">
        <w:rPr>
          <w:sz w:val="23"/>
          <w:szCs w:val="23"/>
        </w:rPr>
        <w:t>.</w:t>
      </w:r>
      <w:bookmarkEnd w:id="6"/>
    </w:p>
    <w:p w:rsidR="008A1E41" w:rsidRPr="00267C3E" w:rsidRDefault="008A1E41" w:rsidP="00267C3E">
      <w:pPr>
        <w:pStyle w:val="Paragraphedeliste1"/>
        <w:numPr>
          <w:ilvl w:val="0"/>
          <w:numId w:val="0"/>
        </w:numPr>
        <w:spacing w:line="276" w:lineRule="auto"/>
        <w:ind w:left="720"/>
        <w:rPr>
          <w:sz w:val="23"/>
          <w:szCs w:val="23"/>
        </w:rPr>
      </w:pPr>
    </w:p>
    <w:p w:rsidR="00FA28B7" w:rsidRPr="00267C3E" w:rsidRDefault="00FA28B7" w:rsidP="00267C3E">
      <w:pPr>
        <w:pStyle w:val="Paragraphedeliste1"/>
        <w:numPr>
          <w:ilvl w:val="0"/>
          <w:numId w:val="0"/>
        </w:numPr>
        <w:spacing w:line="276" w:lineRule="auto"/>
        <w:ind w:left="720"/>
        <w:rPr>
          <w:sz w:val="23"/>
          <w:szCs w:val="23"/>
        </w:rPr>
      </w:pPr>
      <w:bookmarkStart w:id="7" w:name="_Toc473027992"/>
      <w:r w:rsidRPr="00267C3E">
        <w:rPr>
          <w:sz w:val="23"/>
          <w:szCs w:val="23"/>
        </w:rPr>
        <w:t>Par conséquent, « </w:t>
      </w:r>
      <w:r w:rsidRPr="00267C3E">
        <w:rPr>
          <w:i/>
          <w:sz w:val="23"/>
          <w:szCs w:val="23"/>
        </w:rPr>
        <w:t xml:space="preserve">l’officier ou l’agent de police judiciaire devra, dans son constat, </w:t>
      </w:r>
      <w:r w:rsidRPr="00267C3E">
        <w:rPr>
          <w:b/>
          <w:i/>
          <w:sz w:val="23"/>
          <w:szCs w:val="23"/>
        </w:rPr>
        <w:t>relever les éléments objectifs qui lui ont permis, au temps de son action, de considérer qu’il se trouvait devant un délit flagrant</w:t>
      </w:r>
      <w:r w:rsidRPr="00267C3E">
        <w:rPr>
          <w:sz w:val="23"/>
          <w:szCs w:val="23"/>
        </w:rPr>
        <w:t> »</w:t>
      </w:r>
      <w:r w:rsidRPr="00267C3E">
        <w:rPr>
          <w:sz w:val="23"/>
          <w:szCs w:val="23"/>
          <w:vertAlign w:val="superscript"/>
        </w:rPr>
        <w:footnoteReference w:id="4"/>
      </w:r>
      <w:r w:rsidRPr="00267C3E">
        <w:rPr>
          <w:sz w:val="23"/>
          <w:szCs w:val="23"/>
        </w:rPr>
        <w:t>.</w:t>
      </w:r>
      <w:bookmarkEnd w:id="7"/>
      <w:r w:rsidRPr="00267C3E">
        <w:rPr>
          <w:sz w:val="23"/>
          <w:szCs w:val="23"/>
        </w:rPr>
        <w:t xml:space="preserve">  </w:t>
      </w:r>
    </w:p>
    <w:p w:rsidR="004D61AE" w:rsidRPr="00267C3E" w:rsidRDefault="004D61AE" w:rsidP="00267C3E">
      <w:pPr>
        <w:pStyle w:val="Paragraphedeliste1"/>
        <w:numPr>
          <w:ilvl w:val="0"/>
          <w:numId w:val="0"/>
        </w:numPr>
        <w:spacing w:line="276" w:lineRule="auto"/>
        <w:ind w:left="720"/>
        <w:rPr>
          <w:sz w:val="23"/>
          <w:szCs w:val="23"/>
        </w:rPr>
      </w:pPr>
    </w:p>
    <w:p w:rsidR="00E33202" w:rsidRPr="00267C3E" w:rsidRDefault="00E33202" w:rsidP="00267C3E">
      <w:pPr>
        <w:pStyle w:val="Paragraphedeliste1"/>
        <w:spacing w:line="276" w:lineRule="auto"/>
        <w:rPr>
          <w:b/>
          <w:bCs/>
          <w:sz w:val="23"/>
          <w:szCs w:val="23"/>
          <w:u w:val="single"/>
        </w:rPr>
      </w:pPr>
      <w:bookmarkStart w:id="8" w:name="_Toc473028027"/>
      <w:r w:rsidRPr="00267C3E">
        <w:rPr>
          <w:bCs/>
          <w:sz w:val="23"/>
          <w:szCs w:val="23"/>
        </w:rPr>
        <w:t>Enfin, il a été jugé qu’une interpellation irrégulière vicie l’ensemble de la mesure de garde à vue</w:t>
      </w:r>
      <w:r w:rsidRPr="00267C3E">
        <w:rPr>
          <w:bCs/>
          <w:sz w:val="23"/>
          <w:szCs w:val="23"/>
          <w:vertAlign w:val="superscript"/>
        </w:rPr>
        <w:footnoteReference w:id="5"/>
      </w:r>
      <w:r w:rsidRPr="00267C3E">
        <w:rPr>
          <w:bCs/>
          <w:sz w:val="23"/>
          <w:szCs w:val="23"/>
        </w:rPr>
        <w:t>.</w:t>
      </w:r>
      <w:bookmarkEnd w:id="8"/>
      <w:r w:rsidRPr="00267C3E">
        <w:rPr>
          <w:bCs/>
          <w:sz w:val="23"/>
          <w:szCs w:val="23"/>
        </w:rPr>
        <w:t xml:space="preserve"> </w:t>
      </w:r>
    </w:p>
    <w:p w:rsidR="001F7EAA" w:rsidRPr="00267C3E" w:rsidRDefault="001F7EAA" w:rsidP="00267C3E">
      <w:pPr>
        <w:pStyle w:val="Paragraphedeliste1"/>
        <w:numPr>
          <w:ilvl w:val="0"/>
          <w:numId w:val="0"/>
        </w:numPr>
        <w:spacing w:line="276" w:lineRule="auto"/>
        <w:ind w:left="720"/>
        <w:rPr>
          <w:sz w:val="23"/>
          <w:szCs w:val="23"/>
        </w:rPr>
      </w:pPr>
    </w:p>
    <w:p w:rsidR="007E10BB" w:rsidRPr="00267C3E" w:rsidRDefault="007E10BB" w:rsidP="00267C3E">
      <w:pPr>
        <w:pStyle w:val="Paragraphedeliste1"/>
        <w:numPr>
          <w:ilvl w:val="0"/>
          <w:numId w:val="0"/>
        </w:numPr>
        <w:spacing w:line="276" w:lineRule="auto"/>
        <w:ind w:left="720" w:hanging="360"/>
        <w:rPr>
          <w:sz w:val="23"/>
          <w:szCs w:val="23"/>
        </w:rPr>
      </w:pPr>
    </w:p>
    <w:p w:rsidR="007E10BB" w:rsidRPr="00267C3E" w:rsidRDefault="007E10BB" w:rsidP="00267C3E">
      <w:pPr>
        <w:pStyle w:val="Paragraphenormal"/>
        <w:numPr>
          <w:ilvl w:val="1"/>
          <w:numId w:val="7"/>
        </w:numPr>
        <w:spacing w:line="276" w:lineRule="auto"/>
        <w:rPr>
          <w:b/>
          <w:sz w:val="23"/>
          <w:szCs w:val="23"/>
        </w:rPr>
      </w:pPr>
      <w:r w:rsidRPr="00267C3E">
        <w:rPr>
          <w:b/>
          <w:sz w:val="23"/>
          <w:szCs w:val="23"/>
        </w:rPr>
        <w:t>En l’espèce</w:t>
      </w:r>
    </w:p>
    <w:p w:rsidR="00F645EA" w:rsidRPr="00267C3E" w:rsidRDefault="00F645EA" w:rsidP="00267C3E">
      <w:pPr>
        <w:pStyle w:val="Paragraphedeliste1"/>
        <w:spacing w:line="276" w:lineRule="auto"/>
        <w:rPr>
          <w:sz w:val="23"/>
          <w:szCs w:val="23"/>
        </w:rPr>
      </w:pPr>
      <w:r w:rsidRPr="00267C3E">
        <w:rPr>
          <w:sz w:val="23"/>
          <w:szCs w:val="23"/>
        </w:rPr>
        <w:t xml:space="preserve">En l’espèce, </w:t>
      </w:r>
    </w:p>
    <w:p w:rsidR="00F645EA" w:rsidRPr="00267C3E" w:rsidRDefault="00F645EA" w:rsidP="00267C3E">
      <w:pPr>
        <w:pStyle w:val="Paragraphedeliste1"/>
        <w:numPr>
          <w:ilvl w:val="0"/>
          <w:numId w:val="0"/>
        </w:numPr>
        <w:spacing w:line="276" w:lineRule="auto"/>
        <w:ind w:left="720"/>
        <w:rPr>
          <w:sz w:val="23"/>
          <w:szCs w:val="23"/>
        </w:rPr>
      </w:pPr>
    </w:p>
    <w:p w:rsidR="00C25225" w:rsidRPr="00267C3E" w:rsidRDefault="00C25225" w:rsidP="00267C3E">
      <w:pPr>
        <w:pStyle w:val="Paragraphedeliste1"/>
        <w:numPr>
          <w:ilvl w:val="0"/>
          <w:numId w:val="0"/>
        </w:numPr>
        <w:spacing w:line="276" w:lineRule="auto"/>
        <w:ind w:left="720"/>
        <w:rPr>
          <w:sz w:val="23"/>
          <w:szCs w:val="23"/>
        </w:rPr>
      </w:pPr>
    </w:p>
    <w:p w:rsidR="00C25225" w:rsidRPr="00267C3E" w:rsidRDefault="00C25225" w:rsidP="00267C3E">
      <w:pPr>
        <w:pStyle w:val="Paragraphedeliste1"/>
        <w:numPr>
          <w:ilvl w:val="0"/>
          <w:numId w:val="0"/>
        </w:numPr>
        <w:spacing w:line="276" w:lineRule="auto"/>
        <w:ind w:left="720"/>
        <w:rPr>
          <w:sz w:val="23"/>
          <w:szCs w:val="23"/>
        </w:rPr>
      </w:pPr>
    </w:p>
    <w:p w:rsidR="00C25225" w:rsidRPr="00267C3E" w:rsidRDefault="00C25225" w:rsidP="00267C3E">
      <w:pPr>
        <w:pStyle w:val="Paragraphedeliste1"/>
        <w:numPr>
          <w:ilvl w:val="0"/>
          <w:numId w:val="0"/>
        </w:numPr>
        <w:spacing w:line="276" w:lineRule="auto"/>
        <w:ind w:left="720"/>
        <w:rPr>
          <w:sz w:val="23"/>
          <w:szCs w:val="23"/>
        </w:rPr>
      </w:pPr>
    </w:p>
    <w:p w:rsidR="00C25225" w:rsidRPr="00267C3E" w:rsidRDefault="00C25225" w:rsidP="00267C3E">
      <w:pPr>
        <w:pStyle w:val="Paragraphedeliste1"/>
        <w:numPr>
          <w:ilvl w:val="0"/>
          <w:numId w:val="0"/>
        </w:numPr>
        <w:spacing w:line="276" w:lineRule="auto"/>
        <w:ind w:left="720"/>
        <w:rPr>
          <w:sz w:val="23"/>
          <w:szCs w:val="23"/>
        </w:rPr>
      </w:pPr>
    </w:p>
    <w:p w:rsidR="00C25225" w:rsidRPr="00267C3E" w:rsidRDefault="00C25225" w:rsidP="00267C3E">
      <w:pPr>
        <w:pStyle w:val="Paragraphedeliste1"/>
        <w:numPr>
          <w:ilvl w:val="0"/>
          <w:numId w:val="0"/>
        </w:numPr>
        <w:spacing w:line="276" w:lineRule="auto"/>
        <w:ind w:left="720"/>
        <w:rPr>
          <w:sz w:val="23"/>
          <w:szCs w:val="23"/>
        </w:rPr>
      </w:pPr>
    </w:p>
    <w:p w:rsidR="008A1E41" w:rsidRPr="00267C3E" w:rsidRDefault="008A1E41" w:rsidP="00267C3E">
      <w:pPr>
        <w:pStyle w:val="Paragraphedeliste1"/>
        <w:numPr>
          <w:ilvl w:val="0"/>
          <w:numId w:val="0"/>
        </w:numPr>
        <w:spacing w:line="276" w:lineRule="auto"/>
        <w:ind w:left="720"/>
        <w:rPr>
          <w:sz w:val="23"/>
          <w:szCs w:val="23"/>
        </w:rPr>
      </w:pPr>
    </w:p>
    <w:p w:rsidR="008A1E41" w:rsidRPr="00267C3E" w:rsidRDefault="008A1E41" w:rsidP="00267C3E">
      <w:pPr>
        <w:pStyle w:val="Paragraphedeliste1"/>
        <w:numPr>
          <w:ilvl w:val="0"/>
          <w:numId w:val="0"/>
        </w:numPr>
        <w:spacing w:line="276" w:lineRule="auto"/>
        <w:ind w:left="720"/>
        <w:rPr>
          <w:sz w:val="23"/>
          <w:szCs w:val="23"/>
        </w:rPr>
      </w:pPr>
    </w:p>
    <w:p w:rsidR="008A1E41" w:rsidRPr="00267C3E" w:rsidRDefault="008A1E41" w:rsidP="00267C3E">
      <w:pPr>
        <w:pStyle w:val="Paragraphedeliste1"/>
        <w:numPr>
          <w:ilvl w:val="0"/>
          <w:numId w:val="0"/>
        </w:numPr>
        <w:spacing w:line="276" w:lineRule="auto"/>
        <w:ind w:left="720"/>
        <w:rPr>
          <w:sz w:val="23"/>
          <w:szCs w:val="23"/>
        </w:rPr>
      </w:pPr>
    </w:p>
    <w:p w:rsidR="008A1E41" w:rsidRPr="00267C3E" w:rsidRDefault="008A1E41" w:rsidP="00267C3E">
      <w:pPr>
        <w:pStyle w:val="Paragraphedeliste1"/>
        <w:numPr>
          <w:ilvl w:val="0"/>
          <w:numId w:val="0"/>
        </w:numPr>
        <w:spacing w:line="276" w:lineRule="auto"/>
        <w:ind w:left="720"/>
        <w:rPr>
          <w:sz w:val="23"/>
          <w:szCs w:val="23"/>
        </w:rPr>
      </w:pPr>
    </w:p>
    <w:p w:rsidR="008A1E41" w:rsidRPr="00267C3E" w:rsidRDefault="008A1E41" w:rsidP="00267C3E">
      <w:pPr>
        <w:pStyle w:val="Paragraphedeliste1"/>
        <w:numPr>
          <w:ilvl w:val="0"/>
          <w:numId w:val="0"/>
        </w:numPr>
        <w:spacing w:line="276" w:lineRule="auto"/>
        <w:ind w:left="720"/>
        <w:rPr>
          <w:sz w:val="23"/>
          <w:szCs w:val="23"/>
        </w:rPr>
      </w:pPr>
    </w:p>
    <w:p w:rsidR="008A1E41" w:rsidRPr="00267C3E" w:rsidRDefault="008A1E41" w:rsidP="00267C3E">
      <w:pPr>
        <w:pStyle w:val="Paragraphedeliste1"/>
        <w:numPr>
          <w:ilvl w:val="0"/>
          <w:numId w:val="0"/>
        </w:numPr>
        <w:spacing w:line="276" w:lineRule="auto"/>
        <w:ind w:left="720"/>
        <w:rPr>
          <w:sz w:val="23"/>
          <w:szCs w:val="23"/>
        </w:rPr>
      </w:pPr>
    </w:p>
    <w:p w:rsidR="008A1E41" w:rsidRPr="00267C3E" w:rsidRDefault="008A1E41" w:rsidP="00267C3E">
      <w:pPr>
        <w:pStyle w:val="Paragraphedeliste1"/>
        <w:numPr>
          <w:ilvl w:val="0"/>
          <w:numId w:val="0"/>
        </w:numPr>
        <w:spacing w:line="276" w:lineRule="auto"/>
        <w:ind w:left="720"/>
        <w:rPr>
          <w:sz w:val="23"/>
          <w:szCs w:val="23"/>
        </w:rPr>
      </w:pPr>
    </w:p>
    <w:p w:rsidR="008A1E41" w:rsidRPr="00267C3E" w:rsidRDefault="008A1E41" w:rsidP="00267C3E">
      <w:pPr>
        <w:pStyle w:val="Paragraphedeliste1"/>
        <w:numPr>
          <w:ilvl w:val="0"/>
          <w:numId w:val="0"/>
        </w:numPr>
        <w:spacing w:line="276" w:lineRule="auto"/>
        <w:ind w:left="720"/>
        <w:rPr>
          <w:sz w:val="23"/>
          <w:szCs w:val="23"/>
        </w:rPr>
      </w:pPr>
    </w:p>
    <w:p w:rsidR="008A1E41" w:rsidRPr="00267C3E" w:rsidRDefault="008A1E41" w:rsidP="00267C3E">
      <w:pPr>
        <w:pStyle w:val="Paragraphedeliste1"/>
        <w:numPr>
          <w:ilvl w:val="0"/>
          <w:numId w:val="0"/>
        </w:numPr>
        <w:spacing w:line="276" w:lineRule="auto"/>
        <w:ind w:left="720"/>
        <w:rPr>
          <w:sz w:val="23"/>
          <w:szCs w:val="23"/>
        </w:rPr>
      </w:pPr>
    </w:p>
    <w:p w:rsidR="008A1E41" w:rsidRPr="00267C3E" w:rsidRDefault="008A1E41" w:rsidP="00267C3E">
      <w:pPr>
        <w:pStyle w:val="Paragraphedeliste1"/>
        <w:numPr>
          <w:ilvl w:val="0"/>
          <w:numId w:val="0"/>
        </w:numPr>
        <w:spacing w:line="276" w:lineRule="auto"/>
        <w:ind w:left="720"/>
        <w:rPr>
          <w:sz w:val="23"/>
          <w:szCs w:val="23"/>
        </w:rPr>
      </w:pPr>
    </w:p>
    <w:p w:rsidR="008A1E41" w:rsidRPr="00267C3E" w:rsidRDefault="008A1E41" w:rsidP="00267C3E">
      <w:pPr>
        <w:pStyle w:val="Paragraphedeliste1"/>
        <w:numPr>
          <w:ilvl w:val="0"/>
          <w:numId w:val="0"/>
        </w:numPr>
        <w:spacing w:line="276" w:lineRule="auto"/>
        <w:ind w:left="720"/>
        <w:rPr>
          <w:sz w:val="23"/>
          <w:szCs w:val="23"/>
        </w:rPr>
      </w:pPr>
    </w:p>
    <w:p w:rsidR="008A1E41" w:rsidRPr="00267C3E" w:rsidRDefault="008A1E41" w:rsidP="00267C3E">
      <w:pPr>
        <w:pStyle w:val="Paragraphedeliste1"/>
        <w:numPr>
          <w:ilvl w:val="0"/>
          <w:numId w:val="0"/>
        </w:numPr>
        <w:spacing w:line="276" w:lineRule="auto"/>
        <w:ind w:left="720"/>
        <w:rPr>
          <w:sz w:val="23"/>
          <w:szCs w:val="23"/>
        </w:rPr>
      </w:pPr>
    </w:p>
    <w:p w:rsidR="008A1E41" w:rsidRPr="00267C3E" w:rsidRDefault="008A1E41" w:rsidP="00267C3E">
      <w:pPr>
        <w:pStyle w:val="Paragraphedeliste1"/>
        <w:numPr>
          <w:ilvl w:val="0"/>
          <w:numId w:val="0"/>
        </w:numPr>
        <w:spacing w:line="276" w:lineRule="auto"/>
        <w:ind w:left="720"/>
        <w:rPr>
          <w:sz w:val="23"/>
          <w:szCs w:val="23"/>
        </w:rPr>
      </w:pPr>
    </w:p>
    <w:p w:rsidR="008A1E41" w:rsidRPr="00267C3E" w:rsidRDefault="008A1E41" w:rsidP="00267C3E">
      <w:pPr>
        <w:pStyle w:val="Paragraphedeliste1"/>
        <w:numPr>
          <w:ilvl w:val="0"/>
          <w:numId w:val="0"/>
        </w:numPr>
        <w:spacing w:line="276" w:lineRule="auto"/>
        <w:ind w:left="720"/>
        <w:rPr>
          <w:sz w:val="23"/>
          <w:szCs w:val="23"/>
        </w:rPr>
      </w:pPr>
    </w:p>
    <w:p w:rsidR="008A1E41" w:rsidRPr="00267C3E" w:rsidRDefault="008A1E41" w:rsidP="00267C3E">
      <w:pPr>
        <w:pStyle w:val="Paragraphedeliste1"/>
        <w:numPr>
          <w:ilvl w:val="0"/>
          <w:numId w:val="0"/>
        </w:numPr>
        <w:spacing w:line="276" w:lineRule="auto"/>
        <w:ind w:left="720"/>
        <w:rPr>
          <w:sz w:val="23"/>
          <w:szCs w:val="23"/>
        </w:rPr>
      </w:pPr>
    </w:p>
    <w:p w:rsidR="008A1E41" w:rsidRPr="00267C3E" w:rsidRDefault="008A1E41" w:rsidP="00267C3E">
      <w:pPr>
        <w:pStyle w:val="Paragraphedeliste1"/>
        <w:numPr>
          <w:ilvl w:val="0"/>
          <w:numId w:val="0"/>
        </w:numPr>
        <w:spacing w:line="276" w:lineRule="auto"/>
        <w:ind w:left="720"/>
        <w:rPr>
          <w:sz w:val="23"/>
          <w:szCs w:val="23"/>
        </w:rPr>
      </w:pPr>
    </w:p>
    <w:p w:rsidR="008A1E41" w:rsidRPr="00267C3E" w:rsidRDefault="008A1E41" w:rsidP="00267C3E">
      <w:pPr>
        <w:pStyle w:val="Paragraphedeliste1"/>
        <w:numPr>
          <w:ilvl w:val="0"/>
          <w:numId w:val="0"/>
        </w:numPr>
        <w:spacing w:line="276" w:lineRule="auto"/>
        <w:ind w:left="720"/>
        <w:rPr>
          <w:sz w:val="23"/>
          <w:szCs w:val="23"/>
        </w:rPr>
      </w:pPr>
    </w:p>
    <w:p w:rsidR="008A1E41" w:rsidRPr="00267C3E" w:rsidRDefault="008A1E41" w:rsidP="00267C3E">
      <w:pPr>
        <w:pStyle w:val="Paragraphedeliste1"/>
        <w:numPr>
          <w:ilvl w:val="0"/>
          <w:numId w:val="0"/>
        </w:numPr>
        <w:spacing w:line="276" w:lineRule="auto"/>
        <w:ind w:left="720"/>
        <w:rPr>
          <w:sz w:val="23"/>
          <w:szCs w:val="23"/>
        </w:rPr>
      </w:pPr>
    </w:p>
    <w:p w:rsidR="008A1E41" w:rsidRPr="00267C3E" w:rsidRDefault="008A1E41" w:rsidP="00267C3E">
      <w:pPr>
        <w:pStyle w:val="Paragraphedeliste1"/>
        <w:numPr>
          <w:ilvl w:val="0"/>
          <w:numId w:val="0"/>
        </w:numPr>
        <w:spacing w:line="276" w:lineRule="auto"/>
        <w:ind w:left="720"/>
        <w:rPr>
          <w:sz w:val="23"/>
          <w:szCs w:val="23"/>
        </w:rPr>
      </w:pPr>
    </w:p>
    <w:p w:rsidR="008A1E41" w:rsidRPr="00267C3E" w:rsidRDefault="008A1E41" w:rsidP="00267C3E">
      <w:pPr>
        <w:pStyle w:val="Paragraphedeliste1"/>
        <w:numPr>
          <w:ilvl w:val="0"/>
          <w:numId w:val="0"/>
        </w:numPr>
        <w:spacing w:line="276" w:lineRule="auto"/>
        <w:ind w:left="720"/>
        <w:rPr>
          <w:sz w:val="23"/>
          <w:szCs w:val="23"/>
        </w:rPr>
      </w:pPr>
    </w:p>
    <w:p w:rsidR="008A1E41" w:rsidRPr="00267C3E" w:rsidRDefault="008A1E41" w:rsidP="00267C3E">
      <w:pPr>
        <w:pStyle w:val="Paragraphedeliste1"/>
        <w:numPr>
          <w:ilvl w:val="0"/>
          <w:numId w:val="0"/>
        </w:numPr>
        <w:spacing w:line="276" w:lineRule="auto"/>
        <w:ind w:left="720"/>
        <w:rPr>
          <w:sz w:val="23"/>
          <w:szCs w:val="23"/>
        </w:rPr>
      </w:pPr>
    </w:p>
    <w:p w:rsidR="008A1E41" w:rsidRPr="00267C3E" w:rsidRDefault="008A1E41" w:rsidP="00267C3E">
      <w:pPr>
        <w:pStyle w:val="Paragraphedeliste1"/>
        <w:numPr>
          <w:ilvl w:val="0"/>
          <w:numId w:val="0"/>
        </w:numPr>
        <w:spacing w:line="276" w:lineRule="auto"/>
        <w:ind w:left="720"/>
        <w:rPr>
          <w:sz w:val="23"/>
          <w:szCs w:val="23"/>
        </w:rPr>
      </w:pPr>
    </w:p>
    <w:p w:rsidR="008A1E41" w:rsidRPr="00267C3E" w:rsidRDefault="008A1E41" w:rsidP="00267C3E">
      <w:pPr>
        <w:pStyle w:val="Paragraphedeliste1"/>
        <w:numPr>
          <w:ilvl w:val="0"/>
          <w:numId w:val="0"/>
        </w:numPr>
        <w:spacing w:line="276" w:lineRule="auto"/>
        <w:ind w:left="720"/>
        <w:rPr>
          <w:sz w:val="23"/>
          <w:szCs w:val="23"/>
        </w:rPr>
      </w:pPr>
    </w:p>
    <w:p w:rsidR="008A1E41" w:rsidRPr="00267C3E" w:rsidRDefault="008A1E41" w:rsidP="00267C3E">
      <w:pPr>
        <w:pStyle w:val="Paragraphedeliste1"/>
        <w:numPr>
          <w:ilvl w:val="0"/>
          <w:numId w:val="0"/>
        </w:numPr>
        <w:spacing w:line="276" w:lineRule="auto"/>
        <w:ind w:left="720"/>
        <w:rPr>
          <w:sz w:val="23"/>
          <w:szCs w:val="23"/>
        </w:rPr>
      </w:pPr>
    </w:p>
    <w:p w:rsidR="00C25225" w:rsidRPr="00267C3E" w:rsidRDefault="00C25225" w:rsidP="00267C3E">
      <w:pPr>
        <w:pStyle w:val="Paragraphedeliste1"/>
        <w:numPr>
          <w:ilvl w:val="0"/>
          <w:numId w:val="0"/>
        </w:numPr>
        <w:spacing w:line="276" w:lineRule="auto"/>
        <w:ind w:left="720"/>
        <w:rPr>
          <w:sz w:val="23"/>
          <w:szCs w:val="23"/>
        </w:rPr>
      </w:pPr>
    </w:p>
    <w:p w:rsidR="00C25225" w:rsidRPr="00267C3E" w:rsidRDefault="00C25225" w:rsidP="00267C3E">
      <w:pPr>
        <w:pStyle w:val="Paragraphedeliste1"/>
        <w:numPr>
          <w:ilvl w:val="0"/>
          <w:numId w:val="0"/>
        </w:numPr>
        <w:spacing w:line="276" w:lineRule="auto"/>
        <w:ind w:left="720"/>
        <w:rPr>
          <w:sz w:val="23"/>
          <w:szCs w:val="23"/>
        </w:rPr>
      </w:pPr>
    </w:p>
    <w:p w:rsidR="00C25225" w:rsidRPr="00267C3E" w:rsidRDefault="00C25225" w:rsidP="00267C3E">
      <w:pPr>
        <w:pStyle w:val="Paragraphedeliste1"/>
        <w:numPr>
          <w:ilvl w:val="0"/>
          <w:numId w:val="0"/>
        </w:numPr>
        <w:spacing w:line="276" w:lineRule="auto"/>
        <w:ind w:left="720"/>
        <w:rPr>
          <w:sz w:val="23"/>
          <w:szCs w:val="23"/>
        </w:rPr>
      </w:pPr>
    </w:p>
    <w:p w:rsidR="00182413" w:rsidRPr="00267C3E" w:rsidRDefault="00182413" w:rsidP="00267C3E">
      <w:pPr>
        <w:pStyle w:val="Paragraphedeliste1"/>
        <w:numPr>
          <w:ilvl w:val="0"/>
          <w:numId w:val="0"/>
        </w:numPr>
        <w:spacing w:line="276" w:lineRule="auto"/>
        <w:rPr>
          <w:sz w:val="23"/>
          <w:szCs w:val="23"/>
        </w:rPr>
      </w:pPr>
    </w:p>
    <w:p w:rsidR="00C25225" w:rsidRPr="00267C3E" w:rsidRDefault="00C25225" w:rsidP="00267C3E">
      <w:pPr>
        <w:pStyle w:val="Paragraphedeliste1"/>
        <w:numPr>
          <w:ilvl w:val="0"/>
          <w:numId w:val="0"/>
        </w:numPr>
        <w:spacing w:line="276" w:lineRule="auto"/>
        <w:jc w:val="center"/>
        <w:rPr>
          <w:sz w:val="23"/>
          <w:szCs w:val="23"/>
        </w:rPr>
      </w:pPr>
      <w:r w:rsidRPr="00267C3E">
        <w:rPr>
          <w:sz w:val="23"/>
          <w:szCs w:val="23"/>
        </w:rPr>
        <w:t>*     *     *</w:t>
      </w:r>
    </w:p>
    <w:p w:rsidR="00F1660C" w:rsidRPr="00267C3E" w:rsidRDefault="00F1660C" w:rsidP="00267C3E">
      <w:pPr>
        <w:pStyle w:val="Paragraphedeliste1"/>
        <w:numPr>
          <w:ilvl w:val="0"/>
          <w:numId w:val="0"/>
        </w:numPr>
        <w:spacing w:line="276" w:lineRule="auto"/>
        <w:ind w:left="720"/>
        <w:rPr>
          <w:sz w:val="23"/>
          <w:szCs w:val="23"/>
        </w:rPr>
      </w:pPr>
    </w:p>
    <w:p w:rsidR="00BC44A9" w:rsidRPr="00267C3E" w:rsidRDefault="00BC44A9" w:rsidP="00267C3E">
      <w:pPr>
        <w:pStyle w:val="Paragraphedeliste1"/>
        <w:spacing w:line="276" w:lineRule="auto"/>
        <w:rPr>
          <w:sz w:val="23"/>
          <w:szCs w:val="23"/>
        </w:rPr>
      </w:pPr>
      <w:r w:rsidRPr="00267C3E">
        <w:rPr>
          <w:b/>
          <w:sz w:val="23"/>
          <w:szCs w:val="23"/>
        </w:rPr>
        <w:t>Dans ces conditions, la gravité de l’atteinte précitée, qui touche à l’ordre public, commande, par application de l’article 459, alinéa 4 CPP, qu’il soit statué par jugement séparé sur l’exception de nullité soulevée aux termes des présentes</w:t>
      </w:r>
      <w:r w:rsidRPr="00267C3E">
        <w:rPr>
          <w:sz w:val="23"/>
          <w:szCs w:val="23"/>
        </w:rPr>
        <w:t>.</w:t>
      </w:r>
    </w:p>
    <w:p w:rsidR="00BC44A9" w:rsidRPr="00267C3E" w:rsidRDefault="00BC44A9" w:rsidP="00267C3E">
      <w:pPr>
        <w:pStyle w:val="Paragraphedeliste1"/>
        <w:numPr>
          <w:ilvl w:val="0"/>
          <w:numId w:val="0"/>
        </w:numPr>
        <w:spacing w:line="276" w:lineRule="auto"/>
        <w:ind w:left="720"/>
        <w:rPr>
          <w:sz w:val="23"/>
          <w:szCs w:val="23"/>
        </w:rPr>
      </w:pPr>
    </w:p>
    <w:p w:rsidR="00C25225" w:rsidRPr="00267C3E" w:rsidRDefault="00C25225" w:rsidP="00267C3E">
      <w:pPr>
        <w:pStyle w:val="Paragraphedeliste1"/>
        <w:numPr>
          <w:ilvl w:val="0"/>
          <w:numId w:val="0"/>
        </w:numPr>
        <w:spacing w:line="276" w:lineRule="auto"/>
        <w:ind w:left="720"/>
        <w:rPr>
          <w:sz w:val="23"/>
          <w:szCs w:val="23"/>
        </w:rPr>
      </w:pPr>
      <w:r w:rsidRPr="00267C3E">
        <w:rPr>
          <w:sz w:val="23"/>
          <w:szCs w:val="23"/>
        </w:rPr>
        <w:t>Aussi, il sera demandé au Tribunal de céans de ne pas joindre l’incident au fond.</w:t>
      </w:r>
    </w:p>
    <w:p w:rsidR="003171D1" w:rsidRPr="00267C3E" w:rsidRDefault="003171D1" w:rsidP="00267C3E">
      <w:pPr>
        <w:spacing w:line="276" w:lineRule="auto"/>
        <w:rPr>
          <w:rFonts w:ascii="Garamond" w:hAnsi="Garamond"/>
          <w:sz w:val="23"/>
          <w:szCs w:val="23"/>
        </w:rPr>
      </w:pPr>
      <w:r w:rsidRPr="00267C3E">
        <w:rPr>
          <w:rFonts w:ascii="Garamond" w:hAnsi="Garamond"/>
          <w:sz w:val="23"/>
          <w:szCs w:val="23"/>
        </w:rPr>
        <w:br w:type="page"/>
      </w:r>
    </w:p>
    <w:p w:rsidR="003171D1" w:rsidRPr="00267C3E" w:rsidRDefault="003171D1" w:rsidP="00267C3E">
      <w:pPr>
        <w:pStyle w:val="Paragraphedeliste1"/>
        <w:numPr>
          <w:ilvl w:val="0"/>
          <w:numId w:val="0"/>
        </w:numPr>
        <w:spacing w:line="276" w:lineRule="auto"/>
        <w:ind w:left="720"/>
        <w:jc w:val="center"/>
        <w:rPr>
          <w:b/>
          <w:smallCaps/>
          <w:sz w:val="23"/>
          <w:szCs w:val="23"/>
        </w:rPr>
      </w:pPr>
      <w:r w:rsidRPr="00267C3E">
        <w:rPr>
          <w:b/>
          <w:smallCaps/>
          <w:sz w:val="23"/>
          <w:szCs w:val="23"/>
        </w:rPr>
        <w:lastRenderedPageBreak/>
        <w:t>Par ces motifs</w:t>
      </w:r>
    </w:p>
    <w:p w:rsidR="003171D1" w:rsidRPr="00267C3E" w:rsidRDefault="003171D1" w:rsidP="00267C3E">
      <w:pPr>
        <w:pStyle w:val="Paragraphedeliste1"/>
        <w:numPr>
          <w:ilvl w:val="0"/>
          <w:numId w:val="0"/>
        </w:numPr>
        <w:spacing w:line="276" w:lineRule="auto"/>
        <w:ind w:left="720"/>
        <w:rPr>
          <w:sz w:val="23"/>
          <w:szCs w:val="23"/>
        </w:rPr>
      </w:pPr>
    </w:p>
    <w:p w:rsidR="003171D1" w:rsidRPr="00267C3E" w:rsidRDefault="00BC44A9" w:rsidP="00267C3E">
      <w:pPr>
        <w:pStyle w:val="Paragraphedeliste1"/>
        <w:numPr>
          <w:ilvl w:val="0"/>
          <w:numId w:val="0"/>
        </w:numPr>
        <w:spacing w:line="276" w:lineRule="auto"/>
        <w:ind w:left="720" w:hanging="360"/>
        <w:rPr>
          <w:sz w:val="23"/>
          <w:szCs w:val="23"/>
        </w:rPr>
      </w:pPr>
      <w:r w:rsidRPr="00267C3E">
        <w:rPr>
          <w:sz w:val="23"/>
          <w:szCs w:val="23"/>
        </w:rPr>
        <w:t>Vu l’article 5 de la Convention européenne de sauvegarde des droits de l’homme,</w:t>
      </w:r>
    </w:p>
    <w:p w:rsidR="00BC44A9" w:rsidRPr="00267C3E" w:rsidRDefault="00BC44A9" w:rsidP="00267C3E">
      <w:pPr>
        <w:pStyle w:val="Paragraphedeliste1"/>
        <w:numPr>
          <w:ilvl w:val="0"/>
          <w:numId w:val="0"/>
        </w:numPr>
        <w:spacing w:line="276" w:lineRule="auto"/>
        <w:ind w:left="720" w:hanging="360"/>
        <w:rPr>
          <w:sz w:val="23"/>
          <w:szCs w:val="23"/>
        </w:rPr>
      </w:pPr>
    </w:p>
    <w:p w:rsidR="003171D1" w:rsidRPr="00267C3E" w:rsidRDefault="003171D1" w:rsidP="00267C3E">
      <w:pPr>
        <w:pStyle w:val="Paragraphedeliste1"/>
        <w:numPr>
          <w:ilvl w:val="0"/>
          <w:numId w:val="0"/>
        </w:numPr>
        <w:spacing w:line="276" w:lineRule="auto"/>
        <w:ind w:left="720" w:hanging="360"/>
        <w:rPr>
          <w:sz w:val="23"/>
          <w:szCs w:val="23"/>
        </w:rPr>
      </w:pPr>
      <w:r w:rsidRPr="00267C3E">
        <w:rPr>
          <w:sz w:val="23"/>
          <w:szCs w:val="23"/>
        </w:rPr>
        <w:t>Vu l</w:t>
      </w:r>
      <w:r w:rsidR="00A774D8" w:rsidRPr="00267C3E">
        <w:rPr>
          <w:sz w:val="23"/>
          <w:szCs w:val="23"/>
        </w:rPr>
        <w:t>es articles préliminaire,</w:t>
      </w:r>
      <w:r w:rsidR="00010E1E" w:rsidRPr="00267C3E">
        <w:rPr>
          <w:sz w:val="23"/>
          <w:szCs w:val="23"/>
        </w:rPr>
        <w:t xml:space="preserve"> 53,</w:t>
      </w:r>
      <w:r w:rsidR="00205AB9" w:rsidRPr="00267C3E">
        <w:rPr>
          <w:sz w:val="23"/>
          <w:szCs w:val="23"/>
        </w:rPr>
        <w:t xml:space="preserve"> </w:t>
      </w:r>
      <w:r w:rsidR="00BC44A9" w:rsidRPr="00267C3E">
        <w:rPr>
          <w:sz w:val="23"/>
          <w:szCs w:val="23"/>
        </w:rPr>
        <w:t>67, 73, 385 et 459</w:t>
      </w:r>
      <w:r w:rsidR="00B140DB" w:rsidRPr="00267C3E">
        <w:rPr>
          <w:sz w:val="23"/>
          <w:szCs w:val="23"/>
        </w:rPr>
        <w:t xml:space="preserve"> </w:t>
      </w:r>
      <w:r w:rsidRPr="00267C3E">
        <w:rPr>
          <w:sz w:val="23"/>
          <w:szCs w:val="23"/>
        </w:rPr>
        <w:t>du Code de procédure pénale,</w:t>
      </w:r>
    </w:p>
    <w:p w:rsidR="00A774D8" w:rsidRPr="00267C3E" w:rsidRDefault="00A774D8" w:rsidP="00267C3E">
      <w:pPr>
        <w:pStyle w:val="Paragraphedeliste1"/>
        <w:numPr>
          <w:ilvl w:val="0"/>
          <w:numId w:val="0"/>
        </w:numPr>
        <w:spacing w:line="276" w:lineRule="auto"/>
        <w:ind w:left="720" w:hanging="360"/>
        <w:rPr>
          <w:sz w:val="23"/>
          <w:szCs w:val="23"/>
        </w:rPr>
      </w:pPr>
    </w:p>
    <w:p w:rsidR="003171D1" w:rsidRPr="00267C3E" w:rsidRDefault="003171D1" w:rsidP="00267C3E">
      <w:pPr>
        <w:pStyle w:val="Paragraphedeliste1"/>
        <w:numPr>
          <w:ilvl w:val="0"/>
          <w:numId w:val="0"/>
        </w:numPr>
        <w:spacing w:line="276" w:lineRule="auto"/>
        <w:ind w:left="720" w:hanging="360"/>
        <w:rPr>
          <w:sz w:val="23"/>
          <w:szCs w:val="23"/>
        </w:rPr>
      </w:pPr>
      <w:r w:rsidRPr="00267C3E">
        <w:rPr>
          <w:sz w:val="23"/>
          <w:szCs w:val="23"/>
        </w:rPr>
        <w:t>Vu les présentes conclusions et la jurisprudence y reproduite,</w:t>
      </w:r>
    </w:p>
    <w:p w:rsidR="003171D1" w:rsidRPr="00267C3E" w:rsidRDefault="003171D1" w:rsidP="00267C3E">
      <w:pPr>
        <w:pStyle w:val="Paragraphedeliste1"/>
        <w:numPr>
          <w:ilvl w:val="0"/>
          <w:numId w:val="0"/>
        </w:numPr>
        <w:spacing w:line="276" w:lineRule="auto"/>
        <w:ind w:left="720" w:hanging="360"/>
        <w:rPr>
          <w:sz w:val="23"/>
          <w:szCs w:val="23"/>
        </w:rPr>
      </w:pPr>
    </w:p>
    <w:p w:rsidR="003171D1" w:rsidRPr="00267C3E" w:rsidRDefault="003171D1" w:rsidP="00267C3E">
      <w:pPr>
        <w:pStyle w:val="Paragraphedeliste1"/>
        <w:numPr>
          <w:ilvl w:val="0"/>
          <w:numId w:val="0"/>
        </w:numPr>
        <w:spacing w:line="276" w:lineRule="auto"/>
        <w:ind w:left="720" w:hanging="360"/>
        <w:rPr>
          <w:sz w:val="23"/>
          <w:szCs w:val="23"/>
        </w:rPr>
      </w:pPr>
      <w:r w:rsidRPr="00267C3E">
        <w:rPr>
          <w:sz w:val="23"/>
          <w:szCs w:val="23"/>
        </w:rPr>
        <w:t>Il est demandé au Tribunal de :</w:t>
      </w:r>
    </w:p>
    <w:p w:rsidR="003171D1" w:rsidRPr="00267C3E" w:rsidRDefault="003171D1" w:rsidP="00267C3E">
      <w:pPr>
        <w:pStyle w:val="Paragraphedeliste1"/>
        <w:numPr>
          <w:ilvl w:val="0"/>
          <w:numId w:val="0"/>
        </w:numPr>
        <w:spacing w:line="276" w:lineRule="auto"/>
        <w:ind w:left="720" w:hanging="360"/>
        <w:rPr>
          <w:sz w:val="23"/>
          <w:szCs w:val="23"/>
        </w:rPr>
      </w:pPr>
    </w:p>
    <w:p w:rsidR="00304175" w:rsidRPr="00267C3E" w:rsidRDefault="00304175" w:rsidP="00267C3E">
      <w:pPr>
        <w:pStyle w:val="Paragraphedeliste1"/>
        <w:numPr>
          <w:ilvl w:val="0"/>
          <w:numId w:val="6"/>
        </w:numPr>
        <w:spacing w:line="276" w:lineRule="auto"/>
        <w:rPr>
          <w:sz w:val="23"/>
          <w:szCs w:val="23"/>
        </w:rPr>
      </w:pPr>
      <w:r w:rsidRPr="00267C3E">
        <w:rPr>
          <w:b/>
          <w:sz w:val="23"/>
          <w:szCs w:val="23"/>
        </w:rPr>
        <w:t>Dire et juger</w:t>
      </w:r>
      <w:r w:rsidRPr="00267C3E">
        <w:rPr>
          <w:sz w:val="23"/>
          <w:szCs w:val="23"/>
        </w:rPr>
        <w:t xml:space="preserve"> recevable l’exception de nullité ;</w:t>
      </w:r>
    </w:p>
    <w:p w:rsidR="009842E4" w:rsidRPr="00267C3E" w:rsidRDefault="009842E4" w:rsidP="00267C3E">
      <w:pPr>
        <w:pStyle w:val="Paragraphedeliste1"/>
        <w:numPr>
          <w:ilvl w:val="0"/>
          <w:numId w:val="0"/>
        </w:numPr>
        <w:spacing w:line="276" w:lineRule="auto"/>
        <w:ind w:left="1080"/>
        <w:rPr>
          <w:sz w:val="23"/>
          <w:szCs w:val="23"/>
        </w:rPr>
      </w:pPr>
    </w:p>
    <w:p w:rsidR="009842E4" w:rsidRPr="00267C3E" w:rsidRDefault="009842E4" w:rsidP="00267C3E">
      <w:pPr>
        <w:pStyle w:val="Paragraphedeliste1"/>
        <w:numPr>
          <w:ilvl w:val="0"/>
          <w:numId w:val="6"/>
        </w:numPr>
        <w:spacing w:line="276" w:lineRule="auto"/>
        <w:rPr>
          <w:sz w:val="23"/>
          <w:szCs w:val="23"/>
        </w:rPr>
      </w:pPr>
      <w:r w:rsidRPr="00267C3E">
        <w:rPr>
          <w:b/>
          <w:sz w:val="23"/>
          <w:szCs w:val="23"/>
        </w:rPr>
        <w:t>Y répondre</w:t>
      </w:r>
      <w:r w:rsidRPr="00267C3E">
        <w:rPr>
          <w:sz w:val="23"/>
          <w:szCs w:val="23"/>
        </w:rPr>
        <w:t xml:space="preserve"> par jugement séparé </w:t>
      </w:r>
      <w:r w:rsidRPr="00267C3E">
        <w:rPr>
          <w:i/>
          <w:sz w:val="23"/>
          <w:szCs w:val="23"/>
        </w:rPr>
        <w:t>in limine litis </w:t>
      </w:r>
      <w:r w:rsidRPr="00267C3E">
        <w:rPr>
          <w:sz w:val="23"/>
          <w:szCs w:val="23"/>
        </w:rPr>
        <w:t>;</w:t>
      </w:r>
    </w:p>
    <w:p w:rsidR="00304175" w:rsidRPr="00267C3E" w:rsidRDefault="00304175" w:rsidP="00267C3E">
      <w:pPr>
        <w:pStyle w:val="Paragraphedeliste1"/>
        <w:numPr>
          <w:ilvl w:val="0"/>
          <w:numId w:val="0"/>
        </w:numPr>
        <w:spacing w:line="276" w:lineRule="auto"/>
        <w:ind w:left="1080"/>
        <w:rPr>
          <w:sz w:val="23"/>
          <w:szCs w:val="23"/>
        </w:rPr>
      </w:pPr>
    </w:p>
    <w:p w:rsidR="00266404" w:rsidRPr="00267C3E" w:rsidRDefault="00BC44A9" w:rsidP="00267C3E">
      <w:pPr>
        <w:pStyle w:val="Paragraphedeliste1"/>
        <w:numPr>
          <w:ilvl w:val="0"/>
          <w:numId w:val="6"/>
        </w:numPr>
        <w:spacing w:line="276" w:lineRule="auto"/>
        <w:rPr>
          <w:sz w:val="23"/>
          <w:szCs w:val="23"/>
        </w:rPr>
      </w:pPr>
      <w:r w:rsidRPr="00267C3E">
        <w:rPr>
          <w:b/>
          <w:sz w:val="23"/>
          <w:szCs w:val="23"/>
        </w:rPr>
        <w:t xml:space="preserve">Prononcer </w:t>
      </w:r>
      <w:r w:rsidRPr="00267C3E">
        <w:rPr>
          <w:sz w:val="23"/>
          <w:szCs w:val="23"/>
        </w:rPr>
        <w:t xml:space="preserve">la nullité de l’interpellation </w:t>
      </w:r>
      <w:r w:rsidR="00267C3E">
        <w:rPr>
          <w:sz w:val="23"/>
          <w:szCs w:val="23"/>
        </w:rPr>
        <w:t xml:space="preserve">du Concluant </w:t>
      </w:r>
      <w:r w:rsidRPr="00267C3E">
        <w:rPr>
          <w:sz w:val="23"/>
          <w:szCs w:val="23"/>
        </w:rPr>
        <w:t>dans le cadre de la procédure de flagrant délit en raison de la violation des textes applicables ainsi que des principes régissant l’ouverture d’une enquête de flagrance,</w:t>
      </w:r>
    </w:p>
    <w:p w:rsidR="00266404" w:rsidRPr="00267C3E" w:rsidRDefault="00266404" w:rsidP="00267C3E">
      <w:pPr>
        <w:pStyle w:val="Paragraphedeliste1"/>
        <w:numPr>
          <w:ilvl w:val="0"/>
          <w:numId w:val="0"/>
        </w:numPr>
        <w:spacing w:line="276" w:lineRule="auto"/>
        <w:ind w:left="720"/>
        <w:rPr>
          <w:sz w:val="23"/>
          <w:szCs w:val="23"/>
        </w:rPr>
      </w:pPr>
    </w:p>
    <w:p w:rsidR="003171D1" w:rsidRPr="00267C3E" w:rsidRDefault="003171D1" w:rsidP="00267C3E">
      <w:pPr>
        <w:pStyle w:val="Paragraphedeliste1"/>
        <w:numPr>
          <w:ilvl w:val="0"/>
          <w:numId w:val="0"/>
        </w:numPr>
        <w:spacing w:line="276" w:lineRule="auto"/>
        <w:ind w:left="720" w:hanging="360"/>
        <w:rPr>
          <w:sz w:val="23"/>
          <w:szCs w:val="23"/>
        </w:rPr>
      </w:pPr>
    </w:p>
    <w:p w:rsidR="00266404" w:rsidRPr="00267C3E" w:rsidRDefault="00266404" w:rsidP="00267C3E">
      <w:pPr>
        <w:pStyle w:val="Paragraphedeliste1"/>
        <w:numPr>
          <w:ilvl w:val="0"/>
          <w:numId w:val="0"/>
        </w:numPr>
        <w:spacing w:line="276" w:lineRule="auto"/>
        <w:ind w:left="720" w:hanging="360"/>
        <w:rPr>
          <w:sz w:val="23"/>
          <w:szCs w:val="23"/>
        </w:rPr>
      </w:pPr>
    </w:p>
    <w:p w:rsidR="00266404" w:rsidRPr="00267C3E" w:rsidRDefault="00266404" w:rsidP="00267C3E">
      <w:pPr>
        <w:pStyle w:val="Paragraphedeliste1"/>
        <w:numPr>
          <w:ilvl w:val="0"/>
          <w:numId w:val="0"/>
        </w:numPr>
        <w:spacing w:line="276" w:lineRule="auto"/>
        <w:ind w:left="720" w:hanging="360"/>
        <w:rPr>
          <w:sz w:val="23"/>
          <w:szCs w:val="23"/>
        </w:rPr>
      </w:pPr>
    </w:p>
    <w:p w:rsidR="00266404" w:rsidRPr="00267C3E" w:rsidRDefault="00266404" w:rsidP="00267C3E">
      <w:pPr>
        <w:pStyle w:val="Paragraphedeliste1"/>
        <w:numPr>
          <w:ilvl w:val="0"/>
          <w:numId w:val="0"/>
        </w:numPr>
        <w:spacing w:line="276" w:lineRule="auto"/>
        <w:ind w:left="720" w:hanging="360"/>
        <w:jc w:val="right"/>
        <w:rPr>
          <w:b/>
          <w:sz w:val="23"/>
          <w:szCs w:val="23"/>
        </w:rPr>
      </w:pPr>
      <w:r w:rsidRPr="00267C3E">
        <w:rPr>
          <w:b/>
          <w:sz w:val="23"/>
          <w:szCs w:val="23"/>
        </w:rPr>
        <w:t>Sous tous réserves</w:t>
      </w:r>
    </w:p>
    <w:sectPr w:rsidR="00266404" w:rsidRPr="00267C3E" w:rsidSect="00801C8E">
      <w:footerReference w:type="default" r:id="rId7"/>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514" w:rsidRDefault="00FE6514" w:rsidP="00C55882">
      <w:pPr>
        <w:spacing w:after="0" w:line="240" w:lineRule="auto"/>
      </w:pPr>
      <w:r>
        <w:separator/>
      </w:r>
    </w:p>
  </w:endnote>
  <w:endnote w:type="continuationSeparator" w:id="0">
    <w:p w:rsidR="00FE6514" w:rsidRDefault="00FE6514" w:rsidP="00C55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aramond" w:hAnsi="Garamond"/>
      </w:rPr>
      <w:id w:val="484133895"/>
      <w:docPartObj>
        <w:docPartGallery w:val="Page Numbers (Bottom of Page)"/>
        <w:docPartUnique/>
      </w:docPartObj>
    </w:sdtPr>
    <w:sdtEndPr/>
    <w:sdtContent>
      <w:p w:rsidR="00A774D8" w:rsidRPr="00A774D8" w:rsidRDefault="00A774D8">
        <w:pPr>
          <w:pStyle w:val="Pieddepage"/>
          <w:jc w:val="center"/>
          <w:rPr>
            <w:rFonts w:ascii="Garamond" w:hAnsi="Garamond"/>
          </w:rPr>
        </w:pPr>
        <w:r w:rsidRPr="00A774D8">
          <w:rPr>
            <w:rFonts w:ascii="Garamond" w:hAnsi="Garamond"/>
          </w:rPr>
          <w:fldChar w:fldCharType="begin"/>
        </w:r>
        <w:r w:rsidRPr="00A774D8">
          <w:rPr>
            <w:rFonts w:ascii="Garamond" w:hAnsi="Garamond"/>
          </w:rPr>
          <w:instrText>PAGE   \* MERGEFORMAT</w:instrText>
        </w:r>
        <w:r w:rsidRPr="00A774D8">
          <w:rPr>
            <w:rFonts w:ascii="Garamond" w:hAnsi="Garamond"/>
          </w:rPr>
          <w:fldChar w:fldCharType="separate"/>
        </w:r>
        <w:r w:rsidR="00C276F0">
          <w:rPr>
            <w:rFonts w:ascii="Garamond" w:hAnsi="Garamond"/>
            <w:noProof/>
          </w:rPr>
          <w:t>5</w:t>
        </w:r>
        <w:r w:rsidRPr="00A774D8">
          <w:rPr>
            <w:rFonts w:ascii="Garamond" w:hAnsi="Garamond"/>
          </w:rPr>
          <w:fldChar w:fldCharType="end"/>
        </w:r>
      </w:p>
    </w:sdtContent>
  </w:sdt>
  <w:p w:rsidR="00266404" w:rsidRPr="00A774D8" w:rsidRDefault="00266404">
    <w:pPr>
      <w:pStyle w:val="Pieddepage"/>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514" w:rsidRDefault="00FE6514" w:rsidP="00C55882">
      <w:pPr>
        <w:spacing w:after="0" w:line="240" w:lineRule="auto"/>
      </w:pPr>
      <w:r>
        <w:separator/>
      </w:r>
    </w:p>
  </w:footnote>
  <w:footnote w:type="continuationSeparator" w:id="0">
    <w:p w:rsidR="00FE6514" w:rsidRDefault="00FE6514" w:rsidP="00C55882">
      <w:pPr>
        <w:spacing w:after="0" w:line="240" w:lineRule="auto"/>
      </w:pPr>
      <w:r>
        <w:continuationSeparator/>
      </w:r>
    </w:p>
  </w:footnote>
  <w:footnote w:id="1">
    <w:p w:rsidR="00FA28B7" w:rsidRPr="00E33202" w:rsidRDefault="00FA28B7" w:rsidP="00FA28B7">
      <w:pPr>
        <w:pStyle w:val="Notedebasdepage"/>
        <w:rPr>
          <w:rFonts w:ascii="Garamond" w:hAnsi="Garamond"/>
          <w:sz w:val="17"/>
          <w:szCs w:val="17"/>
        </w:rPr>
      </w:pPr>
      <w:r w:rsidRPr="00E33202">
        <w:rPr>
          <w:rStyle w:val="Appelnotedebasdep"/>
          <w:rFonts w:ascii="Garamond" w:hAnsi="Garamond"/>
          <w:sz w:val="17"/>
          <w:szCs w:val="17"/>
        </w:rPr>
        <w:footnoteRef/>
      </w:r>
      <w:r w:rsidRPr="00E33202">
        <w:rPr>
          <w:rFonts w:ascii="Garamond" w:hAnsi="Garamond"/>
          <w:sz w:val="17"/>
          <w:szCs w:val="17"/>
        </w:rPr>
        <w:t xml:space="preserve"> </w:t>
      </w:r>
      <w:r w:rsidR="00F500F0" w:rsidRPr="00E33202">
        <w:rPr>
          <w:rFonts w:ascii="Garamond" w:hAnsi="Garamond"/>
          <w:sz w:val="17"/>
          <w:szCs w:val="17"/>
        </w:rPr>
        <w:t>Crim.</w:t>
      </w:r>
      <w:r w:rsidRPr="00E33202">
        <w:rPr>
          <w:rFonts w:ascii="Garamond" w:hAnsi="Garamond"/>
          <w:sz w:val="17"/>
          <w:szCs w:val="17"/>
        </w:rPr>
        <w:t xml:space="preserve"> 11 mars 1992</w:t>
      </w:r>
      <w:r w:rsidR="00F500F0" w:rsidRPr="00E33202">
        <w:rPr>
          <w:rFonts w:ascii="Garamond" w:hAnsi="Garamond"/>
          <w:sz w:val="17"/>
          <w:szCs w:val="17"/>
        </w:rPr>
        <w:t> :</w:t>
      </w:r>
      <w:r w:rsidRPr="00E33202">
        <w:rPr>
          <w:rFonts w:ascii="Garamond" w:hAnsi="Garamond"/>
          <w:sz w:val="17"/>
          <w:szCs w:val="17"/>
        </w:rPr>
        <w:t xml:space="preserve"> n° 91-84175 ; </w:t>
      </w:r>
      <w:r w:rsidR="00F500F0" w:rsidRPr="00E33202">
        <w:rPr>
          <w:rFonts w:ascii="Garamond" w:hAnsi="Garamond"/>
          <w:sz w:val="17"/>
          <w:szCs w:val="17"/>
        </w:rPr>
        <w:t>C</w:t>
      </w:r>
      <w:r w:rsidRPr="00E33202">
        <w:rPr>
          <w:rFonts w:ascii="Garamond" w:hAnsi="Garamond"/>
          <w:sz w:val="17"/>
          <w:szCs w:val="17"/>
        </w:rPr>
        <w:t>rim., 9 janvier 1990</w:t>
      </w:r>
      <w:r w:rsidR="00F500F0" w:rsidRPr="00E33202">
        <w:rPr>
          <w:rFonts w:ascii="Garamond" w:hAnsi="Garamond"/>
          <w:sz w:val="17"/>
          <w:szCs w:val="17"/>
        </w:rPr>
        <w:t> :</w:t>
      </w:r>
      <w:r w:rsidRPr="00E33202">
        <w:rPr>
          <w:rFonts w:ascii="Garamond" w:hAnsi="Garamond"/>
          <w:sz w:val="17"/>
          <w:szCs w:val="17"/>
        </w:rPr>
        <w:t xml:space="preserve"> n° 89-84238.</w:t>
      </w:r>
    </w:p>
  </w:footnote>
  <w:footnote w:id="2">
    <w:p w:rsidR="00FA28B7" w:rsidRPr="00E33202" w:rsidRDefault="00FA28B7" w:rsidP="00FA28B7">
      <w:pPr>
        <w:pStyle w:val="Notedebasdepage"/>
        <w:rPr>
          <w:rFonts w:ascii="Garamond" w:hAnsi="Garamond"/>
          <w:sz w:val="17"/>
          <w:szCs w:val="17"/>
        </w:rPr>
      </w:pPr>
      <w:r w:rsidRPr="00E33202">
        <w:rPr>
          <w:rStyle w:val="Appelnotedebasdep"/>
          <w:rFonts w:ascii="Garamond" w:hAnsi="Garamond"/>
          <w:sz w:val="17"/>
          <w:szCs w:val="17"/>
        </w:rPr>
        <w:footnoteRef/>
      </w:r>
      <w:r w:rsidRPr="00E33202">
        <w:rPr>
          <w:rFonts w:ascii="Garamond" w:hAnsi="Garamond"/>
          <w:sz w:val="17"/>
          <w:szCs w:val="17"/>
        </w:rPr>
        <w:t xml:space="preserve"> </w:t>
      </w:r>
      <w:r w:rsidR="00F500F0" w:rsidRPr="00E33202">
        <w:rPr>
          <w:rFonts w:ascii="Garamond" w:hAnsi="Garamond"/>
          <w:sz w:val="17"/>
          <w:szCs w:val="17"/>
        </w:rPr>
        <w:t>C</w:t>
      </w:r>
      <w:r w:rsidRPr="00E33202">
        <w:rPr>
          <w:rFonts w:ascii="Garamond" w:hAnsi="Garamond"/>
          <w:sz w:val="17"/>
          <w:szCs w:val="17"/>
        </w:rPr>
        <w:t>rim. 2 février 1988</w:t>
      </w:r>
      <w:r w:rsidR="00F500F0" w:rsidRPr="00E33202">
        <w:rPr>
          <w:rFonts w:ascii="Garamond" w:hAnsi="Garamond"/>
          <w:sz w:val="17"/>
          <w:szCs w:val="17"/>
        </w:rPr>
        <w:t> :</w:t>
      </w:r>
      <w:r w:rsidRPr="00E33202">
        <w:rPr>
          <w:rFonts w:ascii="Garamond" w:hAnsi="Garamond"/>
          <w:sz w:val="17"/>
          <w:szCs w:val="17"/>
        </w:rPr>
        <w:t xml:space="preserve"> n° 87-81147 ; </w:t>
      </w:r>
      <w:r w:rsidR="00F500F0" w:rsidRPr="00E33202">
        <w:rPr>
          <w:rFonts w:ascii="Garamond" w:hAnsi="Garamond"/>
          <w:sz w:val="17"/>
          <w:szCs w:val="17"/>
        </w:rPr>
        <w:t>Crim.</w:t>
      </w:r>
      <w:r w:rsidRPr="00E33202">
        <w:rPr>
          <w:rFonts w:ascii="Garamond" w:hAnsi="Garamond"/>
          <w:sz w:val="17"/>
          <w:szCs w:val="17"/>
        </w:rPr>
        <w:t xml:space="preserve"> 23 octobre 1991</w:t>
      </w:r>
      <w:r w:rsidR="00F500F0" w:rsidRPr="00E33202">
        <w:rPr>
          <w:rFonts w:ascii="Garamond" w:hAnsi="Garamond"/>
          <w:sz w:val="17"/>
          <w:szCs w:val="17"/>
        </w:rPr>
        <w:t> :</w:t>
      </w:r>
      <w:r w:rsidRPr="00E33202">
        <w:rPr>
          <w:rFonts w:ascii="Garamond" w:hAnsi="Garamond"/>
          <w:sz w:val="17"/>
          <w:szCs w:val="17"/>
        </w:rPr>
        <w:t xml:space="preserve"> n° 90-85321.</w:t>
      </w:r>
    </w:p>
  </w:footnote>
  <w:footnote w:id="3">
    <w:p w:rsidR="00FA28B7" w:rsidRPr="00E33202" w:rsidRDefault="00FA28B7" w:rsidP="00FA28B7">
      <w:pPr>
        <w:pStyle w:val="Notedebasdepage"/>
        <w:rPr>
          <w:rFonts w:ascii="Garamond" w:hAnsi="Garamond"/>
          <w:sz w:val="17"/>
          <w:szCs w:val="17"/>
        </w:rPr>
      </w:pPr>
      <w:r w:rsidRPr="00E33202">
        <w:rPr>
          <w:rStyle w:val="Appelnotedebasdep"/>
          <w:rFonts w:ascii="Garamond" w:hAnsi="Garamond"/>
          <w:sz w:val="17"/>
          <w:szCs w:val="17"/>
        </w:rPr>
        <w:footnoteRef/>
      </w:r>
      <w:r w:rsidRPr="00E33202">
        <w:rPr>
          <w:rFonts w:ascii="Garamond" w:hAnsi="Garamond"/>
          <w:sz w:val="17"/>
          <w:szCs w:val="17"/>
        </w:rPr>
        <w:t xml:space="preserve"> Crim. 2 février 1988</w:t>
      </w:r>
      <w:r w:rsidR="00F500F0" w:rsidRPr="00E33202">
        <w:rPr>
          <w:rFonts w:ascii="Garamond" w:hAnsi="Garamond"/>
          <w:sz w:val="17"/>
          <w:szCs w:val="17"/>
        </w:rPr>
        <w:t> :</w:t>
      </w:r>
      <w:r w:rsidRPr="00E33202">
        <w:rPr>
          <w:rFonts w:ascii="Garamond" w:hAnsi="Garamond"/>
          <w:sz w:val="17"/>
          <w:szCs w:val="17"/>
        </w:rPr>
        <w:t xml:space="preserve"> n° 87-81147 ; Crim. 6 février 1997</w:t>
      </w:r>
      <w:r w:rsidR="00F500F0" w:rsidRPr="00E33202">
        <w:rPr>
          <w:rFonts w:ascii="Garamond" w:hAnsi="Garamond"/>
          <w:sz w:val="17"/>
          <w:szCs w:val="17"/>
        </w:rPr>
        <w:t> :</w:t>
      </w:r>
      <w:r w:rsidRPr="00E33202">
        <w:rPr>
          <w:rFonts w:ascii="Garamond" w:hAnsi="Garamond"/>
          <w:sz w:val="17"/>
          <w:szCs w:val="17"/>
        </w:rPr>
        <w:t xml:space="preserve"> n° 96-84018 ; Crim. 7 février 2001</w:t>
      </w:r>
      <w:r w:rsidR="00F500F0" w:rsidRPr="00E33202">
        <w:rPr>
          <w:rFonts w:ascii="Garamond" w:hAnsi="Garamond"/>
          <w:sz w:val="17"/>
          <w:szCs w:val="17"/>
        </w:rPr>
        <w:t> :</w:t>
      </w:r>
      <w:r w:rsidRPr="00E33202">
        <w:rPr>
          <w:rFonts w:ascii="Garamond" w:hAnsi="Garamond"/>
          <w:sz w:val="17"/>
          <w:szCs w:val="17"/>
        </w:rPr>
        <w:t xml:space="preserve"> n° 00-86367.</w:t>
      </w:r>
    </w:p>
  </w:footnote>
  <w:footnote w:id="4">
    <w:p w:rsidR="00FA28B7" w:rsidRPr="00E33202" w:rsidRDefault="00FA28B7" w:rsidP="00FA28B7">
      <w:pPr>
        <w:pStyle w:val="Notedebasdepage"/>
        <w:rPr>
          <w:rFonts w:ascii="Garamond" w:hAnsi="Garamond"/>
          <w:sz w:val="17"/>
          <w:szCs w:val="17"/>
        </w:rPr>
      </w:pPr>
      <w:r w:rsidRPr="00E33202">
        <w:rPr>
          <w:rStyle w:val="Appelnotedebasdep"/>
          <w:rFonts w:ascii="Garamond" w:hAnsi="Garamond"/>
          <w:sz w:val="17"/>
          <w:szCs w:val="17"/>
        </w:rPr>
        <w:footnoteRef/>
      </w:r>
      <w:r w:rsidRPr="00E33202">
        <w:rPr>
          <w:rFonts w:ascii="Garamond" w:hAnsi="Garamond"/>
          <w:sz w:val="17"/>
          <w:szCs w:val="17"/>
        </w:rPr>
        <w:t xml:space="preserve"> </w:t>
      </w:r>
      <w:r w:rsidRPr="00E33202">
        <w:rPr>
          <w:rFonts w:ascii="Garamond" w:hAnsi="Garamond"/>
          <w:i/>
          <w:sz w:val="17"/>
          <w:szCs w:val="17"/>
        </w:rPr>
        <w:t>JurisClasseur Procédure pénale</w:t>
      </w:r>
      <w:r w:rsidRPr="00E33202">
        <w:rPr>
          <w:rFonts w:ascii="Garamond" w:hAnsi="Garamond"/>
          <w:sz w:val="17"/>
          <w:szCs w:val="17"/>
        </w:rPr>
        <w:t>, J. Buisson, Fasc. 20 : Crimes et délits flagrants, à jour au 17 novembre 2016, point 17.</w:t>
      </w:r>
    </w:p>
  </w:footnote>
  <w:footnote w:id="5">
    <w:p w:rsidR="00E33202" w:rsidRPr="00E33202" w:rsidRDefault="00E33202" w:rsidP="00E33202">
      <w:pPr>
        <w:pStyle w:val="Notedebasdepage"/>
        <w:rPr>
          <w:rFonts w:ascii="Garamond" w:hAnsi="Garamond"/>
          <w:sz w:val="17"/>
          <w:szCs w:val="17"/>
        </w:rPr>
      </w:pPr>
      <w:r w:rsidRPr="00E33202">
        <w:rPr>
          <w:rStyle w:val="Appelnotedebasdep"/>
          <w:rFonts w:ascii="Garamond" w:hAnsi="Garamond"/>
          <w:sz w:val="17"/>
          <w:szCs w:val="17"/>
        </w:rPr>
        <w:footnoteRef/>
      </w:r>
      <w:r w:rsidRPr="00E33202">
        <w:rPr>
          <w:rFonts w:ascii="Garamond" w:hAnsi="Garamond"/>
          <w:sz w:val="17"/>
          <w:szCs w:val="17"/>
        </w:rPr>
        <w:t xml:space="preserve"> Cass. crim., 5 décembre 2012 :</w:t>
      </w:r>
      <w:r>
        <w:rPr>
          <w:rFonts w:ascii="Garamond" w:hAnsi="Garamond"/>
          <w:sz w:val="17"/>
          <w:szCs w:val="17"/>
        </w:rPr>
        <w:t xml:space="preserve"> n° 11-88</w:t>
      </w:r>
      <w:r w:rsidRPr="00E33202">
        <w:rPr>
          <w:rFonts w:ascii="Garamond" w:hAnsi="Garamond"/>
          <w:sz w:val="17"/>
          <w:szCs w:val="17"/>
        </w:rPr>
        <w:t>763.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70EC1"/>
    <w:multiLevelType w:val="hybridMultilevel"/>
    <w:tmpl w:val="CD3620CA"/>
    <w:lvl w:ilvl="0" w:tplc="36D628C8">
      <w:start w:val="1"/>
      <w:numFmt w:val="decimal"/>
      <w:pStyle w:val="ParagrapheList"/>
      <w:lvlText w:val="%1."/>
      <w:lvlJc w:val="left"/>
      <w:pPr>
        <w:ind w:left="720" w:hanging="360"/>
      </w:pPr>
      <w:rPr>
        <w:rFonts w:ascii="Garamond" w:hAnsi="Garamond" w:hint="default"/>
        <w:b/>
        <w:i w:val="0"/>
        <w:sz w:val="18"/>
        <w:szCs w:val="18"/>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BF12B8A"/>
    <w:multiLevelType w:val="hybridMultilevel"/>
    <w:tmpl w:val="10CEF89A"/>
    <w:lvl w:ilvl="0" w:tplc="3E827478">
      <w:start w:val="1"/>
      <w:numFmt w:val="decimal"/>
      <w:lvlText w:val="II.%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 w15:restartNumberingAfterBreak="0">
    <w:nsid w:val="20DF4187"/>
    <w:multiLevelType w:val="hybridMultilevel"/>
    <w:tmpl w:val="7A6E6B2C"/>
    <w:lvl w:ilvl="0" w:tplc="E162FF52">
      <w:start w:val="1"/>
      <w:numFmt w:val="upperRoman"/>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15:restartNumberingAfterBreak="0">
    <w:nsid w:val="323A1735"/>
    <w:multiLevelType w:val="hybridMultilevel"/>
    <w:tmpl w:val="013EEA8C"/>
    <w:lvl w:ilvl="0" w:tplc="3E827478">
      <w:start w:val="1"/>
      <w:numFmt w:val="decimal"/>
      <w:lvlText w:val="II.%1."/>
      <w:lvlJc w:val="left"/>
      <w:pPr>
        <w:ind w:left="180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C670C61"/>
    <w:multiLevelType w:val="hybridMultilevel"/>
    <w:tmpl w:val="0E760B66"/>
    <w:lvl w:ilvl="0" w:tplc="877069B0">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45B85C5B"/>
    <w:multiLevelType w:val="hybridMultilevel"/>
    <w:tmpl w:val="8AE88CA0"/>
    <w:lvl w:ilvl="0" w:tplc="1566682A">
      <w:start w:val="1"/>
      <w:numFmt w:val="upperRoman"/>
      <w:lvlText w:val="%1."/>
      <w:lvlJc w:val="left"/>
      <w:pPr>
        <w:ind w:left="1440" w:hanging="720"/>
      </w:pPr>
      <w:rPr>
        <w:rFonts w:hint="default"/>
      </w:rPr>
    </w:lvl>
    <w:lvl w:ilvl="1" w:tplc="3E827478">
      <w:start w:val="1"/>
      <w:numFmt w:val="decimal"/>
      <w:lvlText w:val="II.%2."/>
      <w:lvlJc w:val="left"/>
      <w:pPr>
        <w:ind w:left="1800" w:hanging="360"/>
      </w:pPr>
      <w:rPr>
        <w:rFonts w:hint="default"/>
      </w:r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4B677553"/>
    <w:multiLevelType w:val="hybridMultilevel"/>
    <w:tmpl w:val="50E83532"/>
    <w:lvl w:ilvl="0" w:tplc="22AA3128">
      <w:start w:val="1"/>
      <w:numFmt w:val="bullet"/>
      <w:pStyle w:val="TiretList"/>
      <w:lvlText w:val=""/>
      <w:lvlJc w:val="left"/>
      <w:pPr>
        <w:ind w:left="1069"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2"/>
  </w:num>
  <w:num w:numId="4">
    <w:abstractNumId w:val="0"/>
  </w:num>
  <w:num w:numId="5">
    <w:abstractNumId w:val="0"/>
  </w:num>
  <w:num w:numId="6">
    <w:abstractNumId w:val="4"/>
  </w:num>
  <w:num w:numId="7">
    <w:abstractNumId w:val="5"/>
  </w:num>
  <w:num w:numId="8">
    <w:abstractNumId w:val="1"/>
  </w:num>
  <w:num w:numId="9">
    <w:abstractNumId w:val="0"/>
  </w:num>
  <w:num w:numId="10">
    <w:abstractNumId w:val="0"/>
  </w:num>
  <w:num w:numId="11">
    <w:abstractNumId w:val="3"/>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0AB"/>
    <w:rsid w:val="00010E1E"/>
    <w:rsid w:val="00042A33"/>
    <w:rsid w:val="0008583B"/>
    <w:rsid w:val="000B0748"/>
    <w:rsid w:val="000C2B85"/>
    <w:rsid w:val="000C7B0C"/>
    <w:rsid w:val="000C7E06"/>
    <w:rsid w:val="000D52BE"/>
    <w:rsid w:val="000E5881"/>
    <w:rsid w:val="000F6E89"/>
    <w:rsid w:val="001126B0"/>
    <w:rsid w:val="00144001"/>
    <w:rsid w:val="001636F8"/>
    <w:rsid w:val="00180E17"/>
    <w:rsid w:val="00182413"/>
    <w:rsid w:val="001B0C93"/>
    <w:rsid w:val="001F7EAA"/>
    <w:rsid w:val="00205AB9"/>
    <w:rsid w:val="002136D8"/>
    <w:rsid w:val="0023078E"/>
    <w:rsid w:val="00266404"/>
    <w:rsid w:val="00267C3E"/>
    <w:rsid w:val="00294E43"/>
    <w:rsid w:val="002B11DA"/>
    <w:rsid w:val="00304175"/>
    <w:rsid w:val="003171D1"/>
    <w:rsid w:val="003546D2"/>
    <w:rsid w:val="003A00EF"/>
    <w:rsid w:val="003A7614"/>
    <w:rsid w:val="00432F3B"/>
    <w:rsid w:val="00495E37"/>
    <w:rsid w:val="004D13A6"/>
    <w:rsid w:val="004D61AE"/>
    <w:rsid w:val="0053785B"/>
    <w:rsid w:val="005C3EAA"/>
    <w:rsid w:val="006350A5"/>
    <w:rsid w:val="00653BAC"/>
    <w:rsid w:val="00653FB6"/>
    <w:rsid w:val="00664D58"/>
    <w:rsid w:val="00666D9B"/>
    <w:rsid w:val="006A3CA2"/>
    <w:rsid w:val="006E1609"/>
    <w:rsid w:val="007A0A31"/>
    <w:rsid w:val="007C5F46"/>
    <w:rsid w:val="007E10BB"/>
    <w:rsid w:val="00801C8E"/>
    <w:rsid w:val="00827412"/>
    <w:rsid w:val="00830A28"/>
    <w:rsid w:val="008A1E41"/>
    <w:rsid w:val="008E0FE8"/>
    <w:rsid w:val="00905353"/>
    <w:rsid w:val="00935359"/>
    <w:rsid w:val="00955455"/>
    <w:rsid w:val="00972C50"/>
    <w:rsid w:val="009842E4"/>
    <w:rsid w:val="0099190F"/>
    <w:rsid w:val="009A3CAA"/>
    <w:rsid w:val="009D0624"/>
    <w:rsid w:val="00A33273"/>
    <w:rsid w:val="00A505B1"/>
    <w:rsid w:val="00A554C9"/>
    <w:rsid w:val="00A65C42"/>
    <w:rsid w:val="00A774D8"/>
    <w:rsid w:val="00A81244"/>
    <w:rsid w:val="00A82D6B"/>
    <w:rsid w:val="00AA70AB"/>
    <w:rsid w:val="00B050C9"/>
    <w:rsid w:val="00B140DB"/>
    <w:rsid w:val="00BA2E46"/>
    <w:rsid w:val="00BC44A9"/>
    <w:rsid w:val="00C02721"/>
    <w:rsid w:val="00C1739E"/>
    <w:rsid w:val="00C25225"/>
    <w:rsid w:val="00C276F0"/>
    <w:rsid w:val="00C4241B"/>
    <w:rsid w:val="00C44F6B"/>
    <w:rsid w:val="00C55882"/>
    <w:rsid w:val="00C920C9"/>
    <w:rsid w:val="00CB4AF7"/>
    <w:rsid w:val="00CD0110"/>
    <w:rsid w:val="00CD0550"/>
    <w:rsid w:val="00D24A47"/>
    <w:rsid w:val="00DF77A4"/>
    <w:rsid w:val="00E00C0C"/>
    <w:rsid w:val="00E25700"/>
    <w:rsid w:val="00E33202"/>
    <w:rsid w:val="00E446C0"/>
    <w:rsid w:val="00E4663F"/>
    <w:rsid w:val="00E5763B"/>
    <w:rsid w:val="00EA37F2"/>
    <w:rsid w:val="00F155E6"/>
    <w:rsid w:val="00F1660C"/>
    <w:rsid w:val="00F500F0"/>
    <w:rsid w:val="00F645EA"/>
    <w:rsid w:val="00FA0520"/>
    <w:rsid w:val="00FA28B7"/>
    <w:rsid w:val="00FE65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F4DFB"/>
  <w15:chartTrackingRefBased/>
  <w15:docId w15:val="{DEC7F8A0-80F9-42DD-9270-D6401E987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6"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5"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0A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A70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Char"/>
    <w:rsid w:val="00AA70AB"/>
    <w:pPr>
      <w:spacing w:after="140" w:line="288" w:lineRule="auto"/>
      <w:jc w:val="both"/>
    </w:pPr>
    <w:rPr>
      <w:rFonts w:ascii="Arial" w:eastAsia="Times New Roman" w:hAnsi="Arial" w:cs="Times New Roman"/>
      <w:kern w:val="20"/>
      <w:sz w:val="20"/>
      <w:szCs w:val="24"/>
      <w:lang w:eastAsia="en-GB"/>
    </w:rPr>
  </w:style>
  <w:style w:type="character" w:customStyle="1" w:styleId="BodyChar">
    <w:name w:val="Body Char"/>
    <w:link w:val="Body"/>
    <w:locked/>
    <w:rsid w:val="00AA70AB"/>
    <w:rPr>
      <w:rFonts w:ascii="Arial" w:eastAsia="Times New Roman" w:hAnsi="Arial" w:cs="Times New Roman"/>
      <w:kern w:val="20"/>
      <w:sz w:val="20"/>
      <w:szCs w:val="24"/>
      <w:lang w:eastAsia="en-GB"/>
    </w:rPr>
  </w:style>
  <w:style w:type="paragraph" w:styleId="Paragraphedeliste">
    <w:name w:val="List Paragraph"/>
    <w:basedOn w:val="Normal"/>
    <w:link w:val="ParagraphedelisteCar"/>
    <w:uiPriority w:val="34"/>
    <w:qFormat/>
    <w:rsid w:val="00AA70AB"/>
    <w:pPr>
      <w:ind w:left="720"/>
      <w:contextualSpacing/>
    </w:pPr>
  </w:style>
  <w:style w:type="paragraph" w:customStyle="1" w:styleId="ParagrapheList">
    <w:name w:val="Paragraphe List"/>
    <w:basedOn w:val="Paragraphedeliste"/>
    <w:rsid w:val="00AA70AB"/>
    <w:pPr>
      <w:numPr>
        <w:numId w:val="1"/>
      </w:numPr>
      <w:jc w:val="both"/>
    </w:pPr>
    <w:rPr>
      <w:rFonts w:ascii="Garamond" w:hAnsi="Garamond"/>
    </w:rPr>
  </w:style>
  <w:style w:type="paragraph" w:customStyle="1" w:styleId="Paragraphenormal">
    <w:name w:val="Paragraphe normal"/>
    <w:basedOn w:val="Paragraphedeliste"/>
    <w:link w:val="ParagraphenormalCar"/>
    <w:qFormat/>
    <w:rsid w:val="00AA70AB"/>
    <w:pPr>
      <w:jc w:val="both"/>
    </w:pPr>
    <w:rPr>
      <w:rFonts w:ascii="Garamond" w:hAnsi="Garamond"/>
    </w:rPr>
  </w:style>
  <w:style w:type="character" w:customStyle="1" w:styleId="ParagraphedelisteCar">
    <w:name w:val="Paragraphe de liste Car"/>
    <w:basedOn w:val="Policepardfaut"/>
    <w:link w:val="Paragraphedeliste"/>
    <w:uiPriority w:val="34"/>
    <w:rsid w:val="00AA70AB"/>
  </w:style>
  <w:style w:type="paragraph" w:customStyle="1" w:styleId="TiretList">
    <w:name w:val="Tiret List"/>
    <w:basedOn w:val="Paragraphedeliste"/>
    <w:link w:val="TiretListCar"/>
    <w:qFormat/>
    <w:rsid w:val="00AA70AB"/>
    <w:pPr>
      <w:numPr>
        <w:numId w:val="2"/>
      </w:numPr>
      <w:jc w:val="both"/>
    </w:pPr>
    <w:rPr>
      <w:rFonts w:ascii="Garamond" w:hAnsi="Garamond"/>
    </w:rPr>
  </w:style>
  <w:style w:type="character" w:customStyle="1" w:styleId="ParagraphenormalCar">
    <w:name w:val="Paragraphe normal Car"/>
    <w:basedOn w:val="ParagraphedelisteCar"/>
    <w:link w:val="Paragraphenormal"/>
    <w:rsid w:val="00AA70AB"/>
    <w:rPr>
      <w:rFonts w:ascii="Garamond" w:hAnsi="Garamond"/>
    </w:rPr>
  </w:style>
  <w:style w:type="paragraph" w:customStyle="1" w:styleId="Paragraphedeliste1">
    <w:name w:val="Paragraphe de liste1"/>
    <w:basedOn w:val="ParagrapheList"/>
    <w:link w:val="ListParagraphCar"/>
    <w:qFormat/>
    <w:rsid w:val="00AA70AB"/>
  </w:style>
  <w:style w:type="character" w:customStyle="1" w:styleId="TiretListCar">
    <w:name w:val="Tiret List Car"/>
    <w:basedOn w:val="ParagraphedelisteCar"/>
    <w:link w:val="TiretList"/>
    <w:rsid w:val="00AA70AB"/>
    <w:rPr>
      <w:rFonts w:ascii="Garamond" w:hAnsi="Garamond"/>
    </w:rPr>
  </w:style>
  <w:style w:type="character" w:customStyle="1" w:styleId="ListParagraphCar">
    <w:name w:val="List Paragraph Car"/>
    <w:basedOn w:val="Policepardfaut"/>
    <w:link w:val="Paragraphedeliste1"/>
    <w:rsid w:val="00AA70AB"/>
    <w:rPr>
      <w:rFonts w:ascii="Garamond" w:hAnsi="Garamond"/>
    </w:rPr>
  </w:style>
  <w:style w:type="paragraph" w:styleId="Notedebasdepage">
    <w:name w:val="footnote text"/>
    <w:basedOn w:val="Normal"/>
    <w:link w:val="NotedebasdepageCar"/>
    <w:uiPriority w:val="26"/>
    <w:semiHidden/>
    <w:unhideWhenUsed/>
    <w:rsid w:val="00C55882"/>
    <w:pPr>
      <w:spacing w:after="0" w:line="240" w:lineRule="auto"/>
    </w:pPr>
    <w:rPr>
      <w:sz w:val="20"/>
      <w:szCs w:val="20"/>
    </w:rPr>
  </w:style>
  <w:style w:type="character" w:customStyle="1" w:styleId="NotedebasdepageCar">
    <w:name w:val="Note de bas de page Car"/>
    <w:basedOn w:val="Policepardfaut"/>
    <w:link w:val="Notedebasdepage"/>
    <w:uiPriority w:val="26"/>
    <w:semiHidden/>
    <w:rsid w:val="00C55882"/>
    <w:rPr>
      <w:sz w:val="20"/>
      <w:szCs w:val="20"/>
    </w:rPr>
  </w:style>
  <w:style w:type="character" w:styleId="Appelnotedebasdep">
    <w:name w:val="footnote reference"/>
    <w:basedOn w:val="Policepardfaut"/>
    <w:uiPriority w:val="25"/>
    <w:unhideWhenUsed/>
    <w:rsid w:val="00C55882"/>
    <w:rPr>
      <w:vertAlign w:val="superscript"/>
    </w:rPr>
  </w:style>
  <w:style w:type="paragraph" w:styleId="En-tte">
    <w:name w:val="header"/>
    <w:basedOn w:val="Normal"/>
    <w:link w:val="En-tteCar"/>
    <w:uiPriority w:val="99"/>
    <w:unhideWhenUsed/>
    <w:rsid w:val="00266404"/>
    <w:pPr>
      <w:tabs>
        <w:tab w:val="center" w:pos="4536"/>
        <w:tab w:val="right" w:pos="9072"/>
      </w:tabs>
      <w:spacing w:after="0" w:line="240" w:lineRule="auto"/>
    </w:pPr>
  </w:style>
  <w:style w:type="character" w:customStyle="1" w:styleId="En-tteCar">
    <w:name w:val="En-tête Car"/>
    <w:basedOn w:val="Policepardfaut"/>
    <w:link w:val="En-tte"/>
    <w:uiPriority w:val="99"/>
    <w:rsid w:val="00266404"/>
  </w:style>
  <w:style w:type="paragraph" w:styleId="Pieddepage">
    <w:name w:val="footer"/>
    <w:basedOn w:val="Normal"/>
    <w:link w:val="PieddepageCar"/>
    <w:uiPriority w:val="99"/>
    <w:unhideWhenUsed/>
    <w:rsid w:val="0026640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6404"/>
  </w:style>
  <w:style w:type="paragraph" w:styleId="Sansinterligne">
    <w:name w:val="No Spacing"/>
    <w:link w:val="SansinterligneCar"/>
    <w:uiPriority w:val="1"/>
    <w:qFormat/>
    <w:rsid w:val="00801C8E"/>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801C8E"/>
    <w:rPr>
      <w:rFonts w:eastAsiaTheme="minorEastAsia"/>
      <w:lang w:eastAsia="fr-FR"/>
    </w:rPr>
  </w:style>
  <w:style w:type="paragraph" w:customStyle="1" w:styleId="loose">
    <w:name w:val="loose"/>
    <w:basedOn w:val="Normal"/>
    <w:rsid w:val="00E00C0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uiPriority w:val="99"/>
    <w:semiHidden/>
    <w:unhideWhenUsed/>
    <w:rsid w:val="00495E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380628">
      <w:bodyDiv w:val="1"/>
      <w:marLeft w:val="0"/>
      <w:marRight w:val="0"/>
      <w:marTop w:val="0"/>
      <w:marBottom w:val="0"/>
      <w:divBdr>
        <w:top w:val="none" w:sz="0" w:space="0" w:color="auto"/>
        <w:left w:val="none" w:sz="0" w:space="0" w:color="auto"/>
        <w:bottom w:val="none" w:sz="0" w:space="0" w:color="auto"/>
        <w:right w:val="none" w:sz="0" w:space="0" w:color="auto"/>
      </w:divBdr>
    </w:div>
    <w:div w:id="1117486014">
      <w:bodyDiv w:val="1"/>
      <w:marLeft w:val="0"/>
      <w:marRight w:val="0"/>
      <w:marTop w:val="0"/>
      <w:marBottom w:val="0"/>
      <w:divBdr>
        <w:top w:val="none" w:sz="0" w:space="0" w:color="auto"/>
        <w:left w:val="none" w:sz="0" w:space="0" w:color="auto"/>
        <w:bottom w:val="none" w:sz="0" w:space="0" w:color="auto"/>
        <w:right w:val="none" w:sz="0" w:space="0" w:color="auto"/>
      </w:divBdr>
    </w:div>
    <w:div w:id="191812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6</Pages>
  <Words>774</Words>
  <Characters>4263</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Bougartchev Moyne &amp; Associés</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Nima HAERI</dc:creator>
  <cp:keywords/>
  <dc:description/>
  <cp:lastModifiedBy>Nima HAERI</cp:lastModifiedBy>
  <cp:revision>14</cp:revision>
  <dcterms:created xsi:type="dcterms:W3CDTF">2018-10-28T14:28:00Z</dcterms:created>
  <dcterms:modified xsi:type="dcterms:W3CDTF">2018-12-19T14:54:00Z</dcterms:modified>
</cp:coreProperties>
</file>