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A70AB" w:rsidRPr="00830A28" w:rsidTr="006668B6">
        <w:tc>
          <w:tcPr>
            <w:tcW w:w="4531" w:type="dxa"/>
          </w:tcPr>
          <w:p w:rsidR="00AA70AB" w:rsidRPr="00830A28" w:rsidRDefault="00AA70AB" w:rsidP="006668B6">
            <w:pPr>
              <w:rPr>
                <w:rFonts w:ascii="Garamond" w:hAnsi="Garamond"/>
              </w:rPr>
            </w:pPr>
            <w:r w:rsidRPr="00830A28">
              <w:rPr>
                <w:rFonts w:ascii="Garamond" w:hAnsi="Garamond"/>
              </w:rPr>
              <w:t xml:space="preserve">N° du Parquet : </w:t>
            </w:r>
          </w:p>
          <w:p w:rsidR="00AA70AB" w:rsidRPr="00830A28" w:rsidRDefault="00AA70AB" w:rsidP="00951DE4">
            <w:pPr>
              <w:rPr>
                <w:rFonts w:ascii="Garamond" w:hAnsi="Garamond"/>
              </w:rPr>
            </w:pPr>
            <w:r w:rsidRPr="00830A28">
              <w:rPr>
                <w:rFonts w:ascii="Garamond" w:hAnsi="Garamond"/>
              </w:rPr>
              <w:t xml:space="preserve">Audience du </w:t>
            </w:r>
          </w:p>
        </w:tc>
        <w:tc>
          <w:tcPr>
            <w:tcW w:w="4531" w:type="dxa"/>
          </w:tcPr>
          <w:p w:rsidR="00AA70AB" w:rsidRPr="00830A28" w:rsidRDefault="00CE42BE" w:rsidP="00A774D8">
            <w:pPr>
              <w:jc w:val="right"/>
              <w:rPr>
                <w:rFonts w:ascii="Garamond" w:hAnsi="Garamond"/>
              </w:rPr>
            </w:pPr>
            <w:r w:rsidRPr="00830A28">
              <w:rPr>
                <w:rFonts w:ascii="Garamond" w:hAnsi="Garamond"/>
              </w:rPr>
              <w:t>À</w:t>
            </w:r>
            <w:r w:rsidR="00AA70AB" w:rsidRPr="00830A28">
              <w:rPr>
                <w:rFonts w:ascii="Garamond" w:hAnsi="Garamond"/>
              </w:rPr>
              <w:t xml:space="preserve"> Madame et Messieurs les </w:t>
            </w:r>
            <w:r w:rsidR="00AA70AB" w:rsidRPr="00830A28">
              <w:rPr>
                <w:rFonts w:ascii="Garamond" w:hAnsi="Garamond"/>
              </w:rPr>
              <w:br/>
              <w:t xml:space="preserve">Président et Assesseurs composant </w:t>
            </w:r>
            <w:r w:rsidR="00AA70AB" w:rsidRPr="00830A28">
              <w:rPr>
                <w:rFonts w:ascii="Garamond" w:hAnsi="Garamond"/>
              </w:rPr>
              <w:br/>
              <w:t>la 23</w:t>
            </w:r>
            <w:r w:rsidR="00AA70AB" w:rsidRPr="00830A28">
              <w:rPr>
                <w:rFonts w:ascii="Garamond" w:hAnsi="Garamond"/>
                <w:vertAlign w:val="superscript"/>
              </w:rPr>
              <w:t>e</w:t>
            </w:r>
            <w:r w:rsidR="00AA70AB" w:rsidRPr="00830A28">
              <w:rPr>
                <w:rFonts w:ascii="Garamond" w:hAnsi="Garamond"/>
              </w:rPr>
              <w:t xml:space="preserve"> Chambre correctionnelle </w:t>
            </w:r>
            <w:r w:rsidR="00AA70AB" w:rsidRPr="00830A28">
              <w:rPr>
                <w:rFonts w:ascii="Garamond" w:hAnsi="Garamond"/>
              </w:rPr>
              <w:br/>
              <w:t>du Tribunal de grande instance de Paris</w:t>
            </w:r>
          </w:p>
        </w:tc>
      </w:tr>
    </w:tbl>
    <w:p w:rsidR="00AA70AB" w:rsidRPr="00830A28" w:rsidRDefault="00AA70AB" w:rsidP="00AA70AB">
      <w:pPr>
        <w:rPr>
          <w:rFonts w:ascii="Garamond" w:hAnsi="Garamond"/>
        </w:rPr>
      </w:pPr>
    </w:p>
    <w:p w:rsidR="00AA70AB" w:rsidRPr="00830A28" w:rsidRDefault="00AA70AB" w:rsidP="00AA70AB">
      <w:pPr>
        <w:rPr>
          <w:rFonts w:ascii="Garamond" w:hAnsi="Garamond"/>
        </w:rPr>
      </w:pPr>
    </w:p>
    <w:p w:rsidR="00AA70AB" w:rsidRPr="00830A28" w:rsidRDefault="00AA70AB" w:rsidP="00AA70AB">
      <w:pPr>
        <w:rPr>
          <w:rFonts w:ascii="Garamond" w:hAnsi="Garamond"/>
        </w:rPr>
      </w:pPr>
    </w:p>
    <w:p w:rsidR="00AA70AB" w:rsidRPr="00830A28" w:rsidRDefault="00AA70AB" w:rsidP="00AA70AB">
      <w:pPr>
        <w:jc w:val="center"/>
        <w:rPr>
          <w:rFonts w:ascii="Garamond" w:hAnsi="Garamond"/>
          <w:b/>
          <w:smallCaps/>
          <w:sz w:val="32"/>
          <w:szCs w:val="32"/>
        </w:rPr>
      </w:pPr>
      <w:r w:rsidRPr="00830A28">
        <w:rPr>
          <w:rFonts w:ascii="Garamond" w:hAnsi="Garamond"/>
          <w:b/>
          <w:smallCaps/>
          <w:sz w:val="32"/>
          <w:szCs w:val="32"/>
        </w:rPr>
        <w:t xml:space="preserve">Conclusions in </w:t>
      </w:r>
      <w:proofErr w:type="spellStart"/>
      <w:r w:rsidRPr="00830A28">
        <w:rPr>
          <w:rFonts w:ascii="Garamond" w:hAnsi="Garamond"/>
          <w:b/>
          <w:smallCaps/>
          <w:sz w:val="32"/>
          <w:szCs w:val="32"/>
        </w:rPr>
        <w:t>limine</w:t>
      </w:r>
      <w:proofErr w:type="spellEnd"/>
      <w:r w:rsidRPr="00830A28">
        <w:rPr>
          <w:rFonts w:ascii="Garamond" w:hAnsi="Garamond"/>
          <w:b/>
          <w:smallCaps/>
          <w:sz w:val="32"/>
          <w:szCs w:val="32"/>
        </w:rPr>
        <w:t xml:space="preserve"> </w:t>
      </w:r>
      <w:proofErr w:type="spellStart"/>
      <w:r w:rsidRPr="00830A28">
        <w:rPr>
          <w:rFonts w:ascii="Garamond" w:hAnsi="Garamond"/>
          <w:b/>
          <w:smallCaps/>
          <w:sz w:val="32"/>
          <w:szCs w:val="32"/>
        </w:rPr>
        <w:t>litis</w:t>
      </w:r>
      <w:proofErr w:type="spellEnd"/>
    </w:p>
    <w:p w:rsidR="00AA70AB" w:rsidRPr="00830A28" w:rsidRDefault="00AA70AB" w:rsidP="00AA70AB">
      <w:pPr>
        <w:rPr>
          <w:rFonts w:ascii="Garamond" w:hAnsi="Garamond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134" w:hanging="1134"/>
        <w:rPr>
          <w:rFonts w:ascii="Garamond" w:hAnsi="Garamond"/>
          <w:sz w:val="22"/>
          <w:szCs w:val="22"/>
        </w:rPr>
      </w:pPr>
      <w:r w:rsidRPr="00830A28">
        <w:rPr>
          <w:rFonts w:ascii="Garamond" w:hAnsi="Garamond"/>
          <w:b/>
          <w:sz w:val="22"/>
          <w:szCs w:val="22"/>
          <w:u w:val="single"/>
        </w:rPr>
        <w:t>POUR</w:t>
      </w:r>
      <w:r w:rsidRPr="00830A28">
        <w:rPr>
          <w:rFonts w:ascii="Garamond" w:hAnsi="Garamond"/>
          <w:b/>
          <w:sz w:val="22"/>
          <w:szCs w:val="22"/>
        </w:rPr>
        <w:t> :</w:t>
      </w:r>
      <w:r w:rsidRPr="00830A28">
        <w:rPr>
          <w:rFonts w:ascii="Garamond" w:hAnsi="Garamond"/>
          <w:sz w:val="22"/>
          <w:szCs w:val="22"/>
        </w:rPr>
        <w:t xml:space="preserve"> </w:t>
      </w:r>
      <w:r w:rsidRPr="00830A28">
        <w:rPr>
          <w:rFonts w:ascii="Garamond" w:hAnsi="Garamond"/>
          <w:sz w:val="22"/>
          <w:szCs w:val="22"/>
        </w:rPr>
        <w:tab/>
      </w:r>
      <w:r w:rsidR="00801C8E" w:rsidRPr="00830A28">
        <w:rPr>
          <w:rFonts w:ascii="Garamond" w:hAnsi="Garamond"/>
          <w:b/>
          <w:sz w:val="22"/>
          <w:szCs w:val="22"/>
        </w:rPr>
        <w:t xml:space="preserve">                                  </w:t>
      </w:r>
      <w:r w:rsidRPr="00830A28">
        <w:rPr>
          <w:rFonts w:ascii="Garamond" w:hAnsi="Garamond"/>
          <w:sz w:val="22"/>
          <w:szCs w:val="22"/>
        </w:rPr>
        <w:t>, né</w:t>
      </w:r>
      <w:r w:rsidR="00801C8E" w:rsidRPr="00830A28">
        <w:rPr>
          <w:rFonts w:ascii="Garamond" w:hAnsi="Garamond"/>
          <w:sz w:val="22"/>
          <w:szCs w:val="22"/>
        </w:rPr>
        <w:t xml:space="preserve">  </w:t>
      </w:r>
      <w:r w:rsidRPr="00830A28">
        <w:rPr>
          <w:rFonts w:ascii="Garamond" w:hAnsi="Garamond"/>
          <w:sz w:val="22"/>
          <w:szCs w:val="22"/>
        </w:rPr>
        <w:t xml:space="preserve">le </w:t>
      </w:r>
      <w:r w:rsidR="00801C8E" w:rsidRPr="00830A28">
        <w:rPr>
          <w:rFonts w:ascii="Garamond" w:hAnsi="Garamond"/>
          <w:sz w:val="22"/>
          <w:szCs w:val="22"/>
        </w:rPr>
        <w:t xml:space="preserve">                          </w:t>
      </w:r>
      <w:r w:rsidRPr="00830A28">
        <w:rPr>
          <w:rFonts w:ascii="Garamond" w:hAnsi="Garamond"/>
          <w:sz w:val="22"/>
          <w:szCs w:val="22"/>
        </w:rPr>
        <w:t xml:space="preserve">à </w:t>
      </w:r>
      <w:r w:rsidR="00801C8E" w:rsidRPr="00830A28">
        <w:rPr>
          <w:rFonts w:ascii="Garamond" w:hAnsi="Garamond"/>
          <w:sz w:val="22"/>
          <w:szCs w:val="22"/>
        </w:rPr>
        <w:t xml:space="preserve">                              </w:t>
      </w:r>
    </w:p>
    <w:p w:rsidR="00AA70AB" w:rsidRPr="00830A28" w:rsidRDefault="00AA70AB" w:rsidP="00AA70AB">
      <w:pPr>
        <w:pStyle w:val="Body"/>
        <w:tabs>
          <w:tab w:val="left" w:pos="1134"/>
        </w:tabs>
        <w:ind w:left="1134" w:hanging="1260"/>
        <w:rPr>
          <w:rFonts w:ascii="Garamond" w:hAnsi="Garamond"/>
          <w:sz w:val="22"/>
          <w:szCs w:val="22"/>
        </w:rPr>
      </w:pPr>
      <w:r w:rsidRPr="00830A28">
        <w:rPr>
          <w:rFonts w:ascii="Garamond" w:hAnsi="Garamond"/>
          <w:sz w:val="22"/>
          <w:szCs w:val="22"/>
        </w:rPr>
        <w:tab/>
      </w:r>
    </w:p>
    <w:p w:rsidR="00AA70AB" w:rsidRPr="00830A28" w:rsidRDefault="00AA70AB" w:rsidP="00AA70AB">
      <w:pPr>
        <w:pStyle w:val="Body"/>
        <w:tabs>
          <w:tab w:val="left" w:pos="1134"/>
        </w:tabs>
        <w:ind w:left="1134" w:hanging="1260"/>
        <w:rPr>
          <w:rFonts w:ascii="Garamond" w:hAnsi="Garamond"/>
          <w:sz w:val="22"/>
          <w:szCs w:val="22"/>
        </w:rPr>
      </w:pPr>
    </w:p>
    <w:p w:rsidR="00AA70AB" w:rsidRPr="00830A28" w:rsidRDefault="00AA70AB" w:rsidP="00AA70AB">
      <w:pPr>
        <w:pStyle w:val="Body"/>
        <w:tabs>
          <w:tab w:val="left" w:pos="1134"/>
        </w:tabs>
        <w:ind w:left="1968" w:hanging="1260"/>
        <w:jc w:val="right"/>
        <w:rPr>
          <w:rFonts w:ascii="Garamond" w:hAnsi="Garamond"/>
          <w:sz w:val="22"/>
          <w:szCs w:val="22"/>
        </w:rPr>
      </w:pPr>
      <w:r w:rsidRPr="00830A28">
        <w:rPr>
          <w:rFonts w:ascii="Garamond" w:hAnsi="Garamond"/>
          <w:sz w:val="22"/>
          <w:szCs w:val="22"/>
        </w:rPr>
        <w:tab/>
      </w:r>
    </w:p>
    <w:p w:rsidR="00AA70AB" w:rsidRPr="00830A28" w:rsidRDefault="00AA70AB" w:rsidP="00AA70AB">
      <w:pPr>
        <w:pStyle w:val="Body"/>
        <w:tabs>
          <w:tab w:val="left" w:pos="1134"/>
        </w:tabs>
        <w:ind w:left="1968" w:hanging="1260"/>
        <w:jc w:val="right"/>
        <w:rPr>
          <w:rFonts w:ascii="Garamond" w:hAnsi="Garamond"/>
          <w:sz w:val="22"/>
          <w:szCs w:val="22"/>
        </w:rPr>
      </w:pPr>
    </w:p>
    <w:p w:rsidR="00AA70AB" w:rsidRPr="00830A28" w:rsidRDefault="00AA70AB" w:rsidP="00AA70AB">
      <w:pPr>
        <w:pStyle w:val="Body"/>
        <w:tabs>
          <w:tab w:val="left" w:pos="1134"/>
        </w:tabs>
        <w:ind w:left="1968" w:hanging="1260"/>
        <w:jc w:val="right"/>
        <w:rPr>
          <w:rFonts w:ascii="Garamond" w:hAnsi="Garamond"/>
          <w:sz w:val="22"/>
          <w:szCs w:val="22"/>
        </w:rPr>
      </w:pPr>
      <w:r w:rsidRPr="00830A28">
        <w:rPr>
          <w:rFonts w:ascii="Garamond" w:hAnsi="Garamond"/>
          <w:sz w:val="22"/>
          <w:szCs w:val="22"/>
        </w:rPr>
        <w:t>Ci-après, le « </w:t>
      </w:r>
      <w:r w:rsidRPr="00830A28">
        <w:rPr>
          <w:rFonts w:ascii="Garamond" w:hAnsi="Garamond"/>
          <w:b/>
          <w:sz w:val="22"/>
          <w:szCs w:val="22"/>
        </w:rPr>
        <w:t>Concluant</w:t>
      </w:r>
      <w:r w:rsidRPr="00830A28">
        <w:rPr>
          <w:rFonts w:ascii="Garamond" w:hAnsi="Garamond"/>
          <w:sz w:val="22"/>
          <w:szCs w:val="22"/>
        </w:rPr>
        <w:t> »,</w:t>
      </w:r>
    </w:p>
    <w:p w:rsidR="00AA70AB" w:rsidRPr="00830A28" w:rsidRDefault="00AA70AB" w:rsidP="00AA70AB">
      <w:pPr>
        <w:pStyle w:val="Body"/>
        <w:tabs>
          <w:tab w:val="left" w:pos="1134"/>
        </w:tabs>
        <w:ind w:left="1134" w:hanging="1260"/>
        <w:rPr>
          <w:rFonts w:ascii="Garamond" w:hAnsi="Garamond"/>
          <w:i/>
          <w:sz w:val="22"/>
          <w:szCs w:val="22"/>
        </w:rPr>
      </w:pPr>
      <w:r w:rsidRPr="00830A28">
        <w:rPr>
          <w:rFonts w:ascii="Garamond" w:hAnsi="Garamond"/>
          <w:sz w:val="22"/>
          <w:szCs w:val="22"/>
        </w:rPr>
        <w:tab/>
      </w:r>
    </w:p>
    <w:p w:rsidR="00AA70AB" w:rsidRPr="00830A28" w:rsidRDefault="00AA70AB" w:rsidP="00AA70AB">
      <w:pPr>
        <w:pStyle w:val="Body"/>
        <w:tabs>
          <w:tab w:val="left" w:pos="1260"/>
        </w:tabs>
        <w:spacing w:after="0"/>
        <w:ind w:left="3958"/>
        <w:rPr>
          <w:rFonts w:ascii="Garamond" w:hAnsi="Garamond"/>
          <w:b/>
          <w:sz w:val="22"/>
          <w:szCs w:val="22"/>
        </w:rPr>
      </w:pPr>
      <w:r w:rsidRPr="00830A28">
        <w:rPr>
          <w:rFonts w:ascii="Garamond" w:hAnsi="Garamond"/>
          <w:b/>
          <w:sz w:val="22"/>
          <w:szCs w:val="22"/>
          <w:u w:val="single"/>
        </w:rPr>
        <w:t>Ayant pour Avocat</w:t>
      </w:r>
      <w:r w:rsidRPr="00830A28">
        <w:rPr>
          <w:rFonts w:ascii="Garamond" w:hAnsi="Garamond"/>
          <w:b/>
          <w:sz w:val="22"/>
          <w:szCs w:val="22"/>
        </w:rPr>
        <w:t> :</w:t>
      </w:r>
    </w:p>
    <w:p w:rsidR="00AA70AB" w:rsidRPr="00830A28" w:rsidRDefault="00AA70AB" w:rsidP="00AA70AB">
      <w:pPr>
        <w:pStyle w:val="Body"/>
        <w:tabs>
          <w:tab w:val="left" w:pos="1260"/>
        </w:tabs>
        <w:spacing w:after="0"/>
        <w:ind w:left="3958"/>
        <w:rPr>
          <w:rFonts w:ascii="Garamond" w:hAnsi="Garamond"/>
          <w:b/>
          <w:sz w:val="22"/>
          <w:szCs w:val="22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spacing w:after="0"/>
        <w:ind w:left="3958"/>
        <w:rPr>
          <w:rFonts w:ascii="Garamond" w:hAnsi="Garamond"/>
          <w:b/>
          <w:sz w:val="22"/>
          <w:szCs w:val="22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</w:rPr>
      </w:pPr>
      <w:r w:rsidRPr="00830A28">
        <w:rPr>
          <w:rFonts w:ascii="Garamond" w:hAnsi="Garamond"/>
          <w:b/>
          <w:sz w:val="22"/>
          <w:szCs w:val="22"/>
          <w:u w:val="single"/>
        </w:rPr>
        <w:t>CONTRE</w:t>
      </w:r>
      <w:r w:rsidRPr="00830A28">
        <w:rPr>
          <w:rFonts w:ascii="Garamond" w:hAnsi="Garamond"/>
          <w:b/>
          <w:sz w:val="22"/>
          <w:szCs w:val="22"/>
        </w:rPr>
        <w:t> :</w:t>
      </w:r>
      <w:r w:rsidRPr="00830A28">
        <w:rPr>
          <w:rFonts w:ascii="Garamond" w:hAnsi="Garamond"/>
          <w:sz w:val="22"/>
          <w:szCs w:val="22"/>
        </w:rPr>
        <w:t xml:space="preserve"> </w:t>
      </w:r>
      <w:r w:rsidRPr="00830A28">
        <w:rPr>
          <w:rFonts w:ascii="Garamond" w:hAnsi="Garamond"/>
          <w:sz w:val="22"/>
          <w:szCs w:val="22"/>
        </w:rPr>
        <w:tab/>
      </w:r>
      <w:r w:rsidRPr="00830A28">
        <w:rPr>
          <w:rFonts w:ascii="Garamond" w:hAnsi="Garamond"/>
          <w:b/>
          <w:bCs/>
          <w:sz w:val="22"/>
          <w:szCs w:val="22"/>
        </w:rPr>
        <w:t>le Ministère public</w:t>
      </w:r>
      <w:r w:rsidRPr="00830A28">
        <w:rPr>
          <w:rFonts w:ascii="Garamond" w:hAnsi="Garamond"/>
          <w:b/>
          <w:sz w:val="22"/>
          <w:szCs w:val="22"/>
        </w:rPr>
        <w:t xml:space="preserve"> </w:t>
      </w:r>
      <w:r w:rsidRPr="00830A28">
        <w:rPr>
          <w:rFonts w:ascii="Garamond" w:hAnsi="Garamond"/>
        </w:rPr>
        <w:br w:type="page"/>
      </w:r>
    </w:p>
    <w:p w:rsidR="00AA70AB" w:rsidRPr="00830A28" w:rsidRDefault="00AA70AB" w:rsidP="00AA70AB">
      <w:pPr>
        <w:jc w:val="center"/>
        <w:rPr>
          <w:rFonts w:ascii="Garamond" w:hAnsi="Garamond"/>
          <w:b/>
          <w:smallCaps/>
          <w:sz w:val="28"/>
          <w:szCs w:val="28"/>
        </w:rPr>
      </w:pPr>
      <w:r w:rsidRPr="00830A28">
        <w:rPr>
          <w:rFonts w:ascii="Garamond" w:hAnsi="Garamond"/>
          <w:b/>
          <w:smallCaps/>
          <w:sz w:val="28"/>
          <w:szCs w:val="28"/>
        </w:rPr>
        <w:lastRenderedPageBreak/>
        <w:t xml:space="preserve">Plaise </w:t>
      </w:r>
      <w:r w:rsidR="00654F07">
        <w:rPr>
          <w:rFonts w:ascii="Garamond" w:hAnsi="Garamond"/>
          <w:b/>
          <w:smallCaps/>
          <w:sz w:val="28"/>
          <w:szCs w:val="28"/>
        </w:rPr>
        <w:t>a</w:t>
      </w:r>
      <w:r w:rsidRPr="00830A28">
        <w:rPr>
          <w:rFonts w:ascii="Garamond" w:hAnsi="Garamond"/>
          <w:b/>
          <w:smallCaps/>
          <w:sz w:val="28"/>
          <w:szCs w:val="28"/>
        </w:rPr>
        <w:t xml:space="preserve">u Tribunal </w:t>
      </w:r>
    </w:p>
    <w:p w:rsidR="00AA70AB" w:rsidRPr="002B6324" w:rsidRDefault="00AA70AB" w:rsidP="002B6324">
      <w:pPr>
        <w:spacing w:line="276" w:lineRule="auto"/>
        <w:rPr>
          <w:rFonts w:ascii="Garamond" w:hAnsi="Garamond"/>
          <w:sz w:val="23"/>
          <w:szCs w:val="23"/>
        </w:rPr>
      </w:pPr>
    </w:p>
    <w:p w:rsidR="00AA70AB" w:rsidRPr="002B6324" w:rsidRDefault="002B6324" w:rsidP="002B6324">
      <w:pPr>
        <w:pStyle w:val="Paragraphedeliste1"/>
        <w:spacing w:line="276" w:lineRule="auto"/>
        <w:rPr>
          <w:sz w:val="23"/>
          <w:szCs w:val="23"/>
        </w:rPr>
      </w:pPr>
      <w:r w:rsidRPr="002B6324">
        <w:rPr>
          <w:sz w:val="23"/>
          <w:szCs w:val="23"/>
        </w:rPr>
        <w:t xml:space="preserve">Le Concluant </w:t>
      </w:r>
      <w:r w:rsidR="009A646C" w:rsidRPr="002B6324">
        <w:rPr>
          <w:sz w:val="23"/>
          <w:szCs w:val="23"/>
        </w:rPr>
        <w:t xml:space="preserve">est renvoyé devant le Tribunal de céans des chefs de </w:t>
      </w:r>
      <w:r w:rsidR="009A646C" w:rsidRPr="002B6324">
        <w:rPr>
          <w:sz w:val="23"/>
          <w:szCs w:val="23"/>
        </w:rPr>
        <w:tab/>
      </w:r>
      <w:r w:rsidR="009A646C" w:rsidRPr="002B6324">
        <w:rPr>
          <w:sz w:val="23"/>
          <w:szCs w:val="23"/>
        </w:rPr>
        <w:tab/>
      </w:r>
      <w:r w:rsidR="009A646C" w:rsidRPr="002B6324">
        <w:rPr>
          <w:sz w:val="23"/>
          <w:szCs w:val="23"/>
        </w:rPr>
        <w:tab/>
      </w:r>
      <w:r w:rsidR="009A646C" w:rsidRPr="002B6324">
        <w:rPr>
          <w:sz w:val="23"/>
          <w:szCs w:val="23"/>
        </w:rPr>
        <w:tab/>
      </w:r>
    </w:p>
    <w:p w:rsidR="009A646C" w:rsidRPr="002B6324" w:rsidRDefault="009A646C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9A646C" w:rsidRPr="002B6324" w:rsidRDefault="009A646C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AA70AB" w:rsidRPr="002B6324" w:rsidRDefault="001126B0" w:rsidP="002B6324">
      <w:pPr>
        <w:pStyle w:val="Paragraphenormal"/>
        <w:spacing w:line="276" w:lineRule="auto"/>
        <w:rPr>
          <w:sz w:val="23"/>
          <w:szCs w:val="23"/>
        </w:rPr>
      </w:pPr>
      <w:r w:rsidRPr="002B6324">
        <w:rPr>
          <w:sz w:val="23"/>
          <w:szCs w:val="23"/>
        </w:rPr>
        <w:t>Il reste que l</w:t>
      </w:r>
      <w:r w:rsidR="000C7E06" w:rsidRPr="002B6324">
        <w:rPr>
          <w:sz w:val="23"/>
          <w:szCs w:val="23"/>
        </w:rPr>
        <w:t xml:space="preserve">a </w:t>
      </w:r>
      <w:r w:rsidR="00104C71" w:rsidRPr="002B6324">
        <w:rPr>
          <w:sz w:val="23"/>
          <w:szCs w:val="23"/>
        </w:rPr>
        <w:t xml:space="preserve">fouille </w:t>
      </w:r>
      <w:r w:rsidR="00104C71" w:rsidRPr="002B6324">
        <w:rPr>
          <w:i/>
          <w:sz w:val="23"/>
          <w:szCs w:val="23"/>
        </w:rPr>
        <w:t xml:space="preserve">in </w:t>
      </w:r>
      <w:proofErr w:type="spellStart"/>
      <w:r w:rsidR="00104C71" w:rsidRPr="002B6324">
        <w:rPr>
          <w:i/>
          <w:sz w:val="23"/>
          <w:szCs w:val="23"/>
        </w:rPr>
        <w:t>corpore</w:t>
      </w:r>
      <w:proofErr w:type="spellEnd"/>
      <w:r w:rsidR="002B6324" w:rsidRPr="002B6324">
        <w:rPr>
          <w:sz w:val="23"/>
          <w:szCs w:val="23"/>
        </w:rPr>
        <w:t xml:space="preserve"> du Concluant</w:t>
      </w:r>
      <w:r w:rsidR="00104C71" w:rsidRPr="002B6324">
        <w:rPr>
          <w:sz w:val="23"/>
          <w:szCs w:val="23"/>
        </w:rPr>
        <w:t xml:space="preserve">  ayant conduit à sa retenue douanière et sa </w:t>
      </w:r>
      <w:r w:rsidR="00534870" w:rsidRPr="002B6324">
        <w:rPr>
          <w:sz w:val="23"/>
          <w:szCs w:val="23"/>
        </w:rPr>
        <w:t>comparution de ce jour</w:t>
      </w:r>
      <w:r w:rsidR="00104C71" w:rsidRPr="002B6324">
        <w:rPr>
          <w:sz w:val="23"/>
          <w:szCs w:val="23"/>
        </w:rPr>
        <w:t xml:space="preserve"> contrevient aux dispositions du Code des douanes, si bien que le Tribunal prononcera sa nullité et la nullité de sa saisine.</w:t>
      </w:r>
    </w:p>
    <w:p w:rsidR="000C7E06" w:rsidRPr="002B6324" w:rsidRDefault="000C7E06" w:rsidP="002B6324">
      <w:pPr>
        <w:pStyle w:val="Paragraphenormal"/>
        <w:spacing w:line="276" w:lineRule="auto"/>
        <w:rPr>
          <w:sz w:val="23"/>
          <w:szCs w:val="23"/>
        </w:rPr>
      </w:pPr>
    </w:p>
    <w:p w:rsidR="000C7E06" w:rsidRPr="002B6324" w:rsidRDefault="000C7E06" w:rsidP="002B6324">
      <w:pPr>
        <w:pStyle w:val="Paragraphenormal"/>
        <w:spacing w:line="276" w:lineRule="auto"/>
        <w:rPr>
          <w:sz w:val="23"/>
          <w:szCs w:val="23"/>
        </w:rPr>
      </w:pPr>
    </w:p>
    <w:p w:rsidR="000C7E06" w:rsidRPr="002B6324" w:rsidRDefault="000C7E06" w:rsidP="002B6324">
      <w:pPr>
        <w:pStyle w:val="Paragraphenormal"/>
        <w:numPr>
          <w:ilvl w:val="0"/>
          <w:numId w:val="7"/>
        </w:numPr>
        <w:spacing w:line="276" w:lineRule="auto"/>
        <w:rPr>
          <w:b/>
          <w:sz w:val="23"/>
          <w:szCs w:val="23"/>
          <w:u w:val="single"/>
        </w:rPr>
      </w:pPr>
      <w:r w:rsidRPr="002B6324">
        <w:rPr>
          <w:b/>
          <w:sz w:val="23"/>
          <w:szCs w:val="23"/>
          <w:u w:val="single"/>
        </w:rPr>
        <w:t>Rappel des faits et de la procédure</w:t>
      </w:r>
    </w:p>
    <w:p w:rsidR="000C7E06" w:rsidRPr="002B6324" w:rsidRDefault="000C7E06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0C7E06" w:rsidRPr="002B6324" w:rsidRDefault="000C7E06" w:rsidP="002B6324">
      <w:pPr>
        <w:pStyle w:val="Paragraphedeliste1"/>
        <w:spacing w:line="276" w:lineRule="auto"/>
        <w:rPr>
          <w:sz w:val="23"/>
          <w:szCs w:val="23"/>
        </w:rPr>
      </w:pPr>
      <w:r w:rsidRPr="002B6324">
        <w:rPr>
          <w:sz w:val="23"/>
          <w:szCs w:val="23"/>
        </w:rPr>
        <w:t xml:space="preserve"> </w:t>
      </w:r>
    </w:p>
    <w:p w:rsidR="000C7E06" w:rsidRPr="002B6324" w:rsidRDefault="000C7E06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F645EA" w:rsidRPr="002B6324" w:rsidRDefault="00F645EA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104C71" w:rsidRPr="002B6324" w:rsidRDefault="00104C71" w:rsidP="002B6324">
      <w:pPr>
        <w:spacing w:line="276" w:lineRule="auto"/>
        <w:rPr>
          <w:rFonts w:ascii="Garamond" w:hAnsi="Garamond"/>
          <w:b/>
          <w:sz w:val="23"/>
          <w:szCs w:val="23"/>
          <w:u w:val="single"/>
        </w:rPr>
      </w:pPr>
      <w:r w:rsidRPr="002B6324">
        <w:rPr>
          <w:b/>
          <w:sz w:val="23"/>
          <w:szCs w:val="23"/>
          <w:u w:val="single"/>
        </w:rPr>
        <w:br w:type="page"/>
      </w:r>
    </w:p>
    <w:p w:rsidR="00F645EA" w:rsidRPr="002B6324" w:rsidRDefault="00F645EA" w:rsidP="002B6324">
      <w:pPr>
        <w:pStyle w:val="Paragraphenormal"/>
        <w:numPr>
          <w:ilvl w:val="0"/>
          <w:numId w:val="7"/>
        </w:numPr>
        <w:spacing w:line="276" w:lineRule="auto"/>
        <w:rPr>
          <w:b/>
          <w:sz w:val="23"/>
          <w:szCs w:val="23"/>
          <w:u w:val="single"/>
        </w:rPr>
      </w:pPr>
      <w:r w:rsidRPr="002B6324">
        <w:rPr>
          <w:b/>
          <w:sz w:val="23"/>
          <w:szCs w:val="23"/>
          <w:u w:val="single"/>
        </w:rPr>
        <w:lastRenderedPageBreak/>
        <w:t>Discussion</w:t>
      </w:r>
    </w:p>
    <w:p w:rsidR="00F645EA" w:rsidRPr="002B6324" w:rsidRDefault="00F645EA" w:rsidP="002B6324">
      <w:pPr>
        <w:pStyle w:val="Paragraphenormal"/>
        <w:spacing w:line="276" w:lineRule="auto"/>
        <w:ind w:left="1440"/>
        <w:rPr>
          <w:b/>
          <w:sz w:val="23"/>
          <w:szCs w:val="23"/>
          <w:u w:val="single"/>
        </w:rPr>
      </w:pPr>
    </w:p>
    <w:p w:rsidR="00104C71" w:rsidRPr="002B6324" w:rsidRDefault="00104C71" w:rsidP="002B6324">
      <w:pPr>
        <w:pStyle w:val="Paragraphedeliste1"/>
        <w:numPr>
          <w:ilvl w:val="1"/>
          <w:numId w:val="7"/>
        </w:numPr>
        <w:spacing w:line="276" w:lineRule="auto"/>
        <w:rPr>
          <w:b/>
          <w:sz w:val="23"/>
          <w:szCs w:val="23"/>
        </w:rPr>
      </w:pPr>
      <w:r w:rsidRPr="002B6324">
        <w:rPr>
          <w:b/>
          <w:sz w:val="23"/>
          <w:szCs w:val="23"/>
        </w:rPr>
        <w:t xml:space="preserve">Sur le droit applicable </w:t>
      </w:r>
    </w:p>
    <w:p w:rsidR="00104C71" w:rsidRPr="002B6324" w:rsidRDefault="00104C71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b/>
          <w:sz w:val="23"/>
          <w:szCs w:val="23"/>
        </w:rPr>
      </w:pPr>
    </w:p>
    <w:p w:rsidR="00104C71" w:rsidRPr="002B6324" w:rsidRDefault="00104C71" w:rsidP="002B6324">
      <w:pPr>
        <w:pStyle w:val="Paragraphedeliste1"/>
        <w:spacing w:line="276" w:lineRule="auto"/>
        <w:rPr>
          <w:sz w:val="23"/>
          <w:szCs w:val="23"/>
        </w:rPr>
      </w:pPr>
      <w:r w:rsidRPr="002B6324">
        <w:rPr>
          <w:sz w:val="23"/>
          <w:szCs w:val="23"/>
        </w:rPr>
        <w:t>L’article 60 bis du Code des douanes prévoit que </w:t>
      </w:r>
      <w:bookmarkStart w:id="0" w:name="_GoBack"/>
      <w:bookmarkEnd w:id="0"/>
      <w:r w:rsidRPr="002B6324">
        <w:rPr>
          <w:sz w:val="23"/>
          <w:szCs w:val="23"/>
        </w:rPr>
        <w:t>:</w:t>
      </w:r>
    </w:p>
    <w:p w:rsidR="00104C71" w:rsidRPr="002B6324" w:rsidRDefault="00104C71" w:rsidP="002B6324">
      <w:pPr>
        <w:pStyle w:val="Corpsdetextenumrot"/>
        <w:numPr>
          <w:ilvl w:val="0"/>
          <w:numId w:val="0"/>
        </w:numPr>
        <w:spacing w:line="276" w:lineRule="auto"/>
        <w:ind w:left="1416"/>
        <w:rPr>
          <w:rFonts w:ascii="Garamond" w:hAnsi="Garamond" w:cs="Calibri"/>
          <w:sz w:val="23"/>
          <w:szCs w:val="23"/>
        </w:rPr>
      </w:pPr>
      <w:r w:rsidRPr="002B6324">
        <w:rPr>
          <w:rFonts w:ascii="Garamond" w:hAnsi="Garamond" w:cs="Calibri"/>
          <w:sz w:val="23"/>
          <w:szCs w:val="23"/>
        </w:rPr>
        <w:t>« </w:t>
      </w:r>
      <w:r w:rsidRPr="002B6324">
        <w:rPr>
          <w:rFonts w:ascii="Garamond" w:hAnsi="Garamond" w:cs="Calibri"/>
          <w:i/>
          <w:sz w:val="23"/>
          <w:szCs w:val="23"/>
        </w:rPr>
        <w:t xml:space="preserve">Lorsque </w:t>
      </w:r>
      <w:r w:rsidRPr="002B6324">
        <w:rPr>
          <w:rFonts w:ascii="Garamond" w:hAnsi="Garamond" w:cs="Calibri"/>
          <w:b/>
          <w:i/>
          <w:sz w:val="23"/>
          <w:szCs w:val="23"/>
          <w:u w:val="single"/>
        </w:rPr>
        <w:t>des indices sérieux</w:t>
      </w:r>
      <w:r w:rsidRPr="002B6324">
        <w:rPr>
          <w:rFonts w:ascii="Garamond" w:hAnsi="Garamond" w:cs="Calibri"/>
          <w:i/>
          <w:sz w:val="23"/>
          <w:szCs w:val="23"/>
        </w:rPr>
        <w:t xml:space="preserve"> </w:t>
      </w:r>
      <w:r w:rsidRPr="002B6324">
        <w:rPr>
          <w:rFonts w:ascii="Garamond" w:hAnsi="Garamond" w:cs="Calibri"/>
          <w:b/>
          <w:i/>
          <w:sz w:val="23"/>
          <w:szCs w:val="23"/>
        </w:rPr>
        <w:t>laissent présumer qu'une personne transporte des produits stupéfiants dissimulés dans son organisme</w:t>
      </w:r>
      <w:r w:rsidRPr="002B6324">
        <w:rPr>
          <w:rFonts w:ascii="Garamond" w:hAnsi="Garamond" w:cs="Calibri"/>
          <w:i/>
          <w:sz w:val="23"/>
          <w:szCs w:val="23"/>
        </w:rPr>
        <w:t xml:space="preserve">, les agents des douanes peuvent la soumettre à des examens médicaux de dépistage après avoir préalablement obtenu son consentement exprès </w:t>
      </w:r>
      <w:r w:rsidRPr="002B6324">
        <w:rPr>
          <w:rFonts w:ascii="Garamond" w:hAnsi="Garamond" w:cs="Calibri"/>
          <w:sz w:val="23"/>
          <w:szCs w:val="23"/>
        </w:rPr>
        <w:t>(…) ».</w:t>
      </w:r>
    </w:p>
    <w:p w:rsidR="00104C71" w:rsidRPr="002B6324" w:rsidRDefault="00104C71" w:rsidP="002B6324">
      <w:pPr>
        <w:pStyle w:val="Corpsdetextenumrot"/>
        <w:numPr>
          <w:ilvl w:val="0"/>
          <w:numId w:val="0"/>
        </w:numPr>
        <w:spacing w:line="276" w:lineRule="auto"/>
        <w:ind w:left="708"/>
        <w:rPr>
          <w:rFonts w:ascii="Garamond" w:hAnsi="Garamond" w:cs="Calibri"/>
          <w:sz w:val="23"/>
          <w:szCs w:val="23"/>
        </w:rPr>
      </w:pPr>
      <w:r w:rsidRPr="002B6324">
        <w:rPr>
          <w:rFonts w:ascii="Garamond" w:hAnsi="Garamond" w:cs="Calibri"/>
          <w:sz w:val="23"/>
          <w:szCs w:val="23"/>
        </w:rPr>
        <w:t xml:space="preserve">Cet article </w:t>
      </w:r>
      <w:r w:rsidR="00155A4F" w:rsidRPr="002B6324">
        <w:rPr>
          <w:rFonts w:ascii="Garamond" w:hAnsi="Garamond" w:cs="Calibri"/>
          <w:sz w:val="23"/>
          <w:szCs w:val="23"/>
        </w:rPr>
        <w:t>confère</w:t>
      </w:r>
      <w:r w:rsidRPr="002B6324">
        <w:rPr>
          <w:rFonts w:ascii="Garamond" w:hAnsi="Garamond" w:cs="Calibri"/>
          <w:sz w:val="23"/>
          <w:szCs w:val="23"/>
        </w:rPr>
        <w:t xml:space="preserve"> </w:t>
      </w:r>
      <w:r w:rsidR="00155A4F" w:rsidRPr="002B6324">
        <w:rPr>
          <w:rFonts w:ascii="Garamond" w:hAnsi="Garamond" w:cs="Calibri"/>
          <w:sz w:val="23"/>
          <w:szCs w:val="23"/>
        </w:rPr>
        <w:t>aux</w:t>
      </w:r>
      <w:r w:rsidRPr="002B6324">
        <w:rPr>
          <w:rFonts w:ascii="Garamond" w:hAnsi="Garamond" w:cs="Calibri"/>
          <w:sz w:val="23"/>
          <w:szCs w:val="23"/>
        </w:rPr>
        <w:t xml:space="preserve"> agents des douanes </w:t>
      </w:r>
      <w:r w:rsidR="00155A4F" w:rsidRPr="002B6324">
        <w:rPr>
          <w:rFonts w:ascii="Garamond" w:hAnsi="Garamond" w:cs="Calibri"/>
          <w:sz w:val="23"/>
          <w:szCs w:val="23"/>
        </w:rPr>
        <w:t xml:space="preserve">le pouvoir de </w:t>
      </w:r>
      <w:r w:rsidRPr="002B6324">
        <w:rPr>
          <w:rFonts w:ascii="Garamond" w:hAnsi="Garamond" w:cs="Calibri"/>
          <w:sz w:val="23"/>
          <w:szCs w:val="23"/>
        </w:rPr>
        <w:t>soumettre une personne à des examens médicaux de dépistage en vue d’établir qu’elle transporte des stupéfiants</w:t>
      </w:r>
      <w:r w:rsidR="00155A4F" w:rsidRPr="002B6324">
        <w:rPr>
          <w:rFonts w:ascii="Garamond" w:hAnsi="Garamond" w:cs="Calibri"/>
          <w:sz w:val="23"/>
          <w:szCs w:val="23"/>
        </w:rPr>
        <w:t xml:space="preserve"> – notamment dans son estomac</w:t>
      </w:r>
      <w:r w:rsidRPr="002B6324">
        <w:rPr>
          <w:rFonts w:ascii="Garamond" w:hAnsi="Garamond" w:cs="Calibri"/>
          <w:sz w:val="23"/>
          <w:szCs w:val="23"/>
        </w:rPr>
        <w:t xml:space="preserve">. </w:t>
      </w:r>
    </w:p>
    <w:p w:rsidR="00155A4F" w:rsidRPr="002B6324" w:rsidRDefault="00155A4F" w:rsidP="002B6324">
      <w:pPr>
        <w:pStyle w:val="Corpsdetextenumrot"/>
        <w:numPr>
          <w:ilvl w:val="0"/>
          <w:numId w:val="0"/>
        </w:numPr>
        <w:spacing w:line="276" w:lineRule="auto"/>
        <w:ind w:left="708"/>
        <w:rPr>
          <w:rFonts w:ascii="Garamond" w:hAnsi="Garamond" w:cs="Calibri"/>
          <w:sz w:val="23"/>
          <w:szCs w:val="23"/>
        </w:rPr>
      </w:pPr>
      <w:r w:rsidRPr="002B6324">
        <w:rPr>
          <w:rFonts w:ascii="Garamond" w:hAnsi="Garamond" w:cs="Calibri"/>
          <w:sz w:val="23"/>
          <w:szCs w:val="23"/>
        </w:rPr>
        <w:t xml:space="preserve">Contrairement à l’article 60 du même code qui autorise les agents à procéder, </w:t>
      </w:r>
      <w:r w:rsidRPr="002B6324">
        <w:rPr>
          <w:rFonts w:ascii="Garamond" w:hAnsi="Garamond" w:cs="Calibri"/>
          <w:sz w:val="23"/>
          <w:szCs w:val="23"/>
          <w:u w:val="single"/>
        </w:rPr>
        <w:t>discrétionnairement</w:t>
      </w:r>
      <w:r w:rsidRPr="002B6324">
        <w:rPr>
          <w:rFonts w:ascii="Garamond" w:hAnsi="Garamond" w:cs="Calibri"/>
          <w:sz w:val="23"/>
          <w:szCs w:val="23"/>
        </w:rPr>
        <w:t xml:space="preserve">, à la visite de marchandises et de moyens de transports, l’article 60 bis exige l’existence </w:t>
      </w:r>
      <w:r w:rsidRPr="002B6324">
        <w:rPr>
          <w:rFonts w:ascii="Garamond" w:hAnsi="Garamond" w:cs="Calibri"/>
          <w:b/>
          <w:sz w:val="23"/>
          <w:szCs w:val="23"/>
        </w:rPr>
        <w:t>d’indices sérieux</w:t>
      </w:r>
      <w:r w:rsidRPr="002B6324">
        <w:rPr>
          <w:rFonts w:ascii="Garamond" w:hAnsi="Garamond" w:cs="Calibri"/>
          <w:sz w:val="23"/>
          <w:szCs w:val="23"/>
        </w:rPr>
        <w:t>.</w:t>
      </w:r>
    </w:p>
    <w:p w:rsidR="00104C71" w:rsidRPr="002B6324" w:rsidRDefault="00155A4F" w:rsidP="002B6324">
      <w:pPr>
        <w:pStyle w:val="Corpsdetextenumrot"/>
        <w:numPr>
          <w:ilvl w:val="0"/>
          <w:numId w:val="0"/>
        </w:numPr>
        <w:spacing w:line="276" w:lineRule="auto"/>
        <w:ind w:left="708"/>
        <w:rPr>
          <w:rFonts w:ascii="Garamond" w:hAnsi="Garamond" w:cs="Calibri"/>
          <w:sz w:val="23"/>
          <w:szCs w:val="23"/>
        </w:rPr>
      </w:pPr>
      <w:r w:rsidRPr="002B6324">
        <w:rPr>
          <w:rFonts w:ascii="Garamond" w:hAnsi="Garamond" w:cs="Calibri"/>
          <w:sz w:val="23"/>
          <w:szCs w:val="23"/>
        </w:rPr>
        <w:t xml:space="preserve">On le comprend : la mesure prévue par l’article 60 bis du Codes douanes constituant un </w:t>
      </w:r>
      <w:r w:rsidR="00104C71" w:rsidRPr="002B6324">
        <w:rPr>
          <w:rFonts w:ascii="Garamond" w:hAnsi="Garamond" w:cs="Calibri"/>
          <w:sz w:val="23"/>
          <w:szCs w:val="23"/>
        </w:rPr>
        <w:t>« </w:t>
      </w:r>
      <w:r w:rsidR="00104C71" w:rsidRPr="002B6324">
        <w:rPr>
          <w:rFonts w:ascii="Garamond" w:hAnsi="Garamond" w:cs="Calibri"/>
          <w:b/>
          <w:i/>
          <w:sz w:val="23"/>
          <w:szCs w:val="23"/>
        </w:rPr>
        <w:t>degré maximal d’atteinte à la dignité humaine</w:t>
      </w:r>
      <w:r w:rsidRPr="002B6324">
        <w:rPr>
          <w:rFonts w:ascii="Garamond" w:hAnsi="Garamond" w:cs="Calibri"/>
          <w:sz w:val="23"/>
          <w:szCs w:val="23"/>
        </w:rPr>
        <w:t> »</w:t>
      </w:r>
      <w:r w:rsidRPr="002B6324">
        <w:rPr>
          <w:rStyle w:val="Appelnotedebasdep"/>
          <w:rFonts w:ascii="Garamond" w:hAnsi="Garamond" w:cs="Calibri"/>
          <w:sz w:val="23"/>
          <w:szCs w:val="23"/>
        </w:rPr>
        <w:footnoteReference w:id="1"/>
      </w:r>
      <w:r w:rsidRPr="002B6324">
        <w:rPr>
          <w:rFonts w:ascii="Garamond" w:hAnsi="Garamond" w:cs="Calibri"/>
          <w:sz w:val="23"/>
          <w:szCs w:val="23"/>
        </w:rPr>
        <w:t xml:space="preserve">, le législateur impose aux agents de la douane de s’assurer </w:t>
      </w:r>
      <w:r w:rsidR="00177CFC" w:rsidRPr="002B6324">
        <w:rPr>
          <w:rFonts w:ascii="Garamond" w:hAnsi="Garamond" w:cs="Calibri"/>
          <w:sz w:val="23"/>
          <w:szCs w:val="23"/>
        </w:rPr>
        <w:t>de la</w:t>
      </w:r>
      <w:r w:rsidR="00104C71" w:rsidRPr="002B6324">
        <w:rPr>
          <w:rFonts w:ascii="Garamond" w:hAnsi="Garamond" w:cs="Calibri"/>
          <w:sz w:val="23"/>
          <w:szCs w:val="23"/>
        </w:rPr>
        <w:t xml:space="preserve"> </w:t>
      </w:r>
      <w:r w:rsidR="00104C71" w:rsidRPr="002B6324">
        <w:rPr>
          <w:rFonts w:ascii="Garamond" w:hAnsi="Garamond" w:cs="Calibri"/>
          <w:sz w:val="23"/>
          <w:szCs w:val="23"/>
          <w:u w:val="single"/>
        </w:rPr>
        <w:t xml:space="preserve">probabilité </w:t>
      </w:r>
      <w:r w:rsidR="00177CFC" w:rsidRPr="002B6324">
        <w:rPr>
          <w:rFonts w:ascii="Garamond" w:hAnsi="Garamond" w:cs="Calibri"/>
          <w:sz w:val="23"/>
          <w:szCs w:val="23"/>
          <w:u w:val="single"/>
        </w:rPr>
        <w:t>concrète</w:t>
      </w:r>
      <w:r w:rsidR="00177CFC" w:rsidRPr="002B6324">
        <w:rPr>
          <w:rFonts w:ascii="Garamond" w:hAnsi="Garamond" w:cs="Calibri"/>
          <w:sz w:val="23"/>
          <w:szCs w:val="23"/>
        </w:rPr>
        <w:t xml:space="preserve"> </w:t>
      </w:r>
      <w:r w:rsidR="00104C71" w:rsidRPr="002B6324">
        <w:rPr>
          <w:rFonts w:ascii="Garamond" w:hAnsi="Garamond" w:cs="Calibri"/>
          <w:sz w:val="23"/>
          <w:szCs w:val="23"/>
        </w:rPr>
        <w:t>d’une infraction à la législation.</w:t>
      </w:r>
    </w:p>
    <w:p w:rsidR="00155A4F" w:rsidRPr="002B6324" w:rsidRDefault="00155A4F" w:rsidP="002B6324">
      <w:pPr>
        <w:pStyle w:val="Paragraphedeliste1"/>
        <w:spacing w:line="276" w:lineRule="auto"/>
        <w:rPr>
          <w:b/>
          <w:bCs/>
          <w:sz w:val="23"/>
          <w:szCs w:val="23"/>
        </w:rPr>
      </w:pPr>
      <w:r w:rsidRPr="002B6324">
        <w:rPr>
          <w:bCs/>
          <w:sz w:val="23"/>
          <w:szCs w:val="23"/>
        </w:rPr>
        <w:t xml:space="preserve">À titre de comparaison, l’exigence du législateur </w:t>
      </w:r>
      <w:r w:rsidR="00177CFC" w:rsidRPr="002B6324">
        <w:rPr>
          <w:bCs/>
          <w:sz w:val="23"/>
          <w:szCs w:val="23"/>
        </w:rPr>
        <w:t xml:space="preserve">s’agissant de l’article 60 bis </w:t>
      </w:r>
      <w:r w:rsidRPr="002B6324">
        <w:rPr>
          <w:bCs/>
          <w:sz w:val="23"/>
          <w:szCs w:val="23"/>
        </w:rPr>
        <w:t xml:space="preserve">est </w:t>
      </w:r>
      <w:r w:rsidRPr="002B6324">
        <w:rPr>
          <w:b/>
          <w:bCs/>
          <w:sz w:val="23"/>
          <w:szCs w:val="23"/>
        </w:rPr>
        <w:t>doublement plus sévère que celle voulue pour une mesure de garde à vue </w:t>
      </w:r>
      <w:r w:rsidRPr="002B6324">
        <w:rPr>
          <w:bCs/>
          <w:sz w:val="23"/>
          <w:szCs w:val="23"/>
        </w:rPr>
        <w:t>:</w:t>
      </w:r>
    </w:p>
    <w:p w:rsidR="00155A4F" w:rsidRPr="002B6324" w:rsidRDefault="00155A4F" w:rsidP="002B6324">
      <w:pPr>
        <w:pStyle w:val="Pieddepage"/>
        <w:numPr>
          <w:ilvl w:val="0"/>
          <w:numId w:val="16"/>
        </w:numPr>
        <w:tabs>
          <w:tab w:val="clear" w:pos="4536"/>
          <w:tab w:val="clear" w:pos="9072"/>
        </w:tabs>
        <w:autoSpaceDE w:val="0"/>
        <w:autoSpaceDN w:val="0"/>
        <w:spacing w:line="276" w:lineRule="auto"/>
        <w:ind w:left="1275" w:hanging="567"/>
        <w:jc w:val="both"/>
        <w:rPr>
          <w:rFonts w:ascii="Garamond" w:hAnsi="Garamond"/>
          <w:b/>
          <w:bCs/>
          <w:sz w:val="23"/>
          <w:szCs w:val="23"/>
        </w:rPr>
      </w:pPr>
      <w:r w:rsidRPr="002B6324">
        <w:rPr>
          <w:rFonts w:ascii="Garamond" w:hAnsi="Garamond"/>
          <w:bCs/>
          <w:sz w:val="23"/>
          <w:szCs w:val="23"/>
        </w:rPr>
        <w:t xml:space="preserve">d’une part, le </w:t>
      </w:r>
      <w:r w:rsidRPr="002B6324">
        <w:rPr>
          <w:rFonts w:ascii="Garamond" w:hAnsi="Garamond"/>
          <w:b/>
          <w:bCs/>
          <w:sz w:val="23"/>
          <w:szCs w:val="23"/>
        </w:rPr>
        <w:t>pluriel</w:t>
      </w:r>
      <w:r w:rsidRPr="002B6324">
        <w:rPr>
          <w:rFonts w:ascii="Garamond" w:hAnsi="Garamond"/>
          <w:bCs/>
          <w:sz w:val="23"/>
          <w:szCs w:val="23"/>
        </w:rPr>
        <w:t xml:space="preserve"> employé « </w:t>
      </w:r>
      <w:r w:rsidRPr="002B6324">
        <w:rPr>
          <w:rFonts w:ascii="Garamond" w:hAnsi="Garamond"/>
          <w:bCs/>
          <w:i/>
          <w:sz w:val="23"/>
          <w:szCs w:val="23"/>
        </w:rPr>
        <w:t>indices sérieux</w:t>
      </w:r>
      <w:r w:rsidRPr="002B6324">
        <w:rPr>
          <w:rFonts w:ascii="Garamond" w:hAnsi="Garamond"/>
          <w:bCs/>
          <w:sz w:val="23"/>
          <w:szCs w:val="23"/>
        </w:rPr>
        <w:t> » contraste avec le vocable de l’article 62-2 du CPP qui exige le constat d’ « </w:t>
      </w:r>
      <w:r w:rsidRPr="002B6324">
        <w:rPr>
          <w:rFonts w:ascii="Garamond" w:hAnsi="Garamond"/>
          <w:b/>
          <w:i/>
          <w:sz w:val="23"/>
          <w:szCs w:val="23"/>
        </w:rPr>
        <w:t xml:space="preserve">une </w:t>
      </w:r>
      <w:r w:rsidRPr="002B6324">
        <w:rPr>
          <w:rFonts w:ascii="Garamond" w:hAnsi="Garamond"/>
          <w:b/>
          <w:i/>
          <w:sz w:val="23"/>
          <w:szCs w:val="23"/>
          <w:u w:val="single"/>
        </w:rPr>
        <w:t>ou</w:t>
      </w:r>
      <w:r w:rsidRPr="002B6324">
        <w:rPr>
          <w:rFonts w:ascii="Garamond" w:hAnsi="Garamond"/>
          <w:b/>
          <w:i/>
          <w:sz w:val="23"/>
          <w:szCs w:val="23"/>
        </w:rPr>
        <w:t xml:space="preserve"> plusieurs</w:t>
      </w:r>
      <w:r w:rsidRPr="002B6324">
        <w:rPr>
          <w:rFonts w:ascii="Garamond" w:hAnsi="Garamond"/>
          <w:i/>
          <w:sz w:val="23"/>
          <w:szCs w:val="23"/>
        </w:rPr>
        <w:t xml:space="preserve"> raisons plausibles de soupçonner</w:t>
      </w:r>
      <w:r w:rsidR="00177CFC" w:rsidRPr="002B6324">
        <w:rPr>
          <w:rFonts w:ascii="Garamond" w:hAnsi="Garamond"/>
          <w:sz w:val="23"/>
          <w:szCs w:val="23"/>
        </w:rPr>
        <w:t> </w:t>
      </w:r>
      <w:r w:rsidRPr="002B6324">
        <w:rPr>
          <w:rFonts w:ascii="Garamond" w:hAnsi="Garamond"/>
          <w:sz w:val="23"/>
          <w:szCs w:val="23"/>
        </w:rPr>
        <w:t>» la réalisation d’une infraction par le mis en cause ;</w:t>
      </w:r>
    </w:p>
    <w:p w:rsidR="00155A4F" w:rsidRPr="002B6324" w:rsidRDefault="00155A4F" w:rsidP="002B6324">
      <w:pPr>
        <w:pStyle w:val="Pieddepage"/>
        <w:tabs>
          <w:tab w:val="clear" w:pos="4536"/>
          <w:tab w:val="clear" w:pos="9072"/>
        </w:tabs>
        <w:spacing w:line="276" w:lineRule="auto"/>
        <w:ind w:left="1275"/>
        <w:rPr>
          <w:rFonts w:ascii="Garamond" w:hAnsi="Garamond"/>
          <w:b/>
          <w:bCs/>
          <w:sz w:val="23"/>
          <w:szCs w:val="23"/>
        </w:rPr>
      </w:pPr>
    </w:p>
    <w:p w:rsidR="00155A4F" w:rsidRPr="002B6324" w:rsidRDefault="00155A4F" w:rsidP="002B6324">
      <w:pPr>
        <w:pStyle w:val="Pieddepage"/>
        <w:numPr>
          <w:ilvl w:val="0"/>
          <w:numId w:val="16"/>
        </w:numPr>
        <w:tabs>
          <w:tab w:val="clear" w:pos="4536"/>
          <w:tab w:val="clear" w:pos="9072"/>
        </w:tabs>
        <w:autoSpaceDE w:val="0"/>
        <w:autoSpaceDN w:val="0"/>
        <w:spacing w:line="276" w:lineRule="auto"/>
        <w:ind w:left="1275" w:hanging="567"/>
        <w:jc w:val="both"/>
        <w:rPr>
          <w:rFonts w:ascii="Garamond" w:hAnsi="Garamond"/>
          <w:b/>
          <w:bCs/>
          <w:sz w:val="23"/>
          <w:szCs w:val="23"/>
        </w:rPr>
      </w:pPr>
      <w:r w:rsidRPr="002B6324">
        <w:rPr>
          <w:rFonts w:ascii="Garamond" w:hAnsi="Garamond"/>
          <w:sz w:val="23"/>
          <w:szCs w:val="23"/>
        </w:rPr>
        <w:t>d’autre part, l’indice doit être « </w:t>
      </w:r>
      <w:r w:rsidRPr="002B6324">
        <w:rPr>
          <w:rFonts w:ascii="Garamond" w:hAnsi="Garamond"/>
          <w:b/>
          <w:i/>
          <w:sz w:val="23"/>
          <w:szCs w:val="23"/>
        </w:rPr>
        <w:t>sérieux</w:t>
      </w:r>
      <w:r w:rsidRPr="002B6324">
        <w:rPr>
          <w:rFonts w:ascii="Garamond" w:hAnsi="Garamond"/>
          <w:sz w:val="23"/>
          <w:szCs w:val="23"/>
        </w:rPr>
        <w:t> », épithète qui paraît dire assez clairement ce qu’il implique : une rigueur supplémentaire</w:t>
      </w:r>
      <w:r w:rsidR="001129EA" w:rsidRPr="002B6324">
        <w:rPr>
          <w:rFonts w:ascii="Garamond" w:hAnsi="Garamond"/>
          <w:sz w:val="23"/>
          <w:szCs w:val="23"/>
        </w:rPr>
        <w:t xml:space="preserve">, </w:t>
      </w:r>
      <w:r w:rsidR="00BC28B8" w:rsidRPr="002B6324">
        <w:rPr>
          <w:rFonts w:ascii="Garamond" w:hAnsi="Garamond"/>
          <w:sz w:val="23"/>
          <w:szCs w:val="23"/>
        </w:rPr>
        <w:t xml:space="preserve">comme </w:t>
      </w:r>
      <w:r w:rsidR="001129EA" w:rsidRPr="002B6324">
        <w:rPr>
          <w:rFonts w:ascii="Garamond" w:hAnsi="Garamond"/>
          <w:sz w:val="23"/>
          <w:szCs w:val="23"/>
        </w:rPr>
        <w:t>intangible</w:t>
      </w:r>
      <w:r w:rsidRPr="002B6324">
        <w:rPr>
          <w:rFonts w:ascii="Garamond" w:hAnsi="Garamond"/>
          <w:sz w:val="23"/>
          <w:szCs w:val="23"/>
        </w:rPr>
        <w:t xml:space="preserve"> dans la caractérisation du comportement suspect.</w:t>
      </w:r>
    </w:p>
    <w:p w:rsidR="00177CFC" w:rsidRPr="002B6324" w:rsidRDefault="00177CFC" w:rsidP="002B6324">
      <w:pPr>
        <w:pStyle w:val="Corpsdetextenumrot"/>
        <w:numPr>
          <w:ilvl w:val="0"/>
          <w:numId w:val="0"/>
        </w:numPr>
        <w:spacing w:line="276" w:lineRule="auto"/>
        <w:ind w:left="708"/>
        <w:rPr>
          <w:rFonts w:ascii="Garamond" w:hAnsi="Garamond" w:cs="Calibri"/>
          <w:sz w:val="23"/>
          <w:szCs w:val="23"/>
        </w:rPr>
      </w:pPr>
    </w:p>
    <w:p w:rsidR="00104C71" w:rsidRPr="002B6324" w:rsidRDefault="00104C71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b/>
          <w:sz w:val="23"/>
          <w:szCs w:val="23"/>
        </w:rPr>
      </w:pPr>
    </w:p>
    <w:p w:rsidR="00104C71" w:rsidRPr="002B6324" w:rsidRDefault="00104C71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b/>
          <w:sz w:val="23"/>
          <w:szCs w:val="23"/>
        </w:rPr>
      </w:pPr>
    </w:p>
    <w:p w:rsidR="00F95E70" w:rsidRPr="002B6324" w:rsidRDefault="00F95E70" w:rsidP="002B6324">
      <w:pPr>
        <w:pStyle w:val="Paragraphedeliste1"/>
        <w:numPr>
          <w:ilvl w:val="1"/>
          <w:numId w:val="7"/>
        </w:numPr>
        <w:spacing w:line="276" w:lineRule="auto"/>
        <w:rPr>
          <w:b/>
          <w:sz w:val="23"/>
          <w:szCs w:val="23"/>
        </w:rPr>
      </w:pPr>
      <w:r w:rsidRPr="002B6324">
        <w:rPr>
          <w:b/>
          <w:sz w:val="23"/>
          <w:szCs w:val="23"/>
        </w:rPr>
        <w:t>En l’espèce</w:t>
      </w:r>
    </w:p>
    <w:p w:rsidR="00F95E70" w:rsidRPr="002B6324" w:rsidRDefault="00F95E70" w:rsidP="002B6324">
      <w:pPr>
        <w:pStyle w:val="Paragraphedeliste1"/>
        <w:numPr>
          <w:ilvl w:val="0"/>
          <w:numId w:val="0"/>
        </w:numPr>
        <w:spacing w:line="276" w:lineRule="auto"/>
        <w:ind w:left="1416"/>
        <w:rPr>
          <w:sz w:val="23"/>
          <w:szCs w:val="23"/>
        </w:rPr>
      </w:pPr>
    </w:p>
    <w:p w:rsidR="003A7614" w:rsidRPr="002B6324" w:rsidRDefault="003A7614" w:rsidP="002B6324">
      <w:pPr>
        <w:pStyle w:val="Paragraphedeliste1"/>
        <w:spacing w:line="276" w:lineRule="auto"/>
        <w:rPr>
          <w:i/>
          <w:sz w:val="23"/>
          <w:szCs w:val="23"/>
        </w:rPr>
      </w:pPr>
      <w:r w:rsidRPr="002B6324">
        <w:rPr>
          <w:sz w:val="23"/>
          <w:szCs w:val="23"/>
        </w:rPr>
        <w:t xml:space="preserve">En l’espèce, </w:t>
      </w:r>
      <w:r w:rsidR="00A774D8" w:rsidRPr="002B6324">
        <w:rPr>
          <w:sz w:val="23"/>
          <w:szCs w:val="23"/>
        </w:rPr>
        <w:t xml:space="preserve"> </w:t>
      </w:r>
    </w:p>
    <w:p w:rsidR="00F95E70" w:rsidRPr="002B6324" w:rsidRDefault="00F95E70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F95E70" w:rsidRPr="002B6324" w:rsidRDefault="00F95E70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F95E70" w:rsidRPr="002B6324" w:rsidRDefault="00F95E70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F95E70" w:rsidRPr="002B6324" w:rsidRDefault="00F95E70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F95E70" w:rsidRPr="002B6324" w:rsidRDefault="00F95E70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i/>
          <w:sz w:val="23"/>
          <w:szCs w:val="23"/>
        </w:rPr>
      </w:pP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i/>
          <w:sz w:val="23"/>
          <w:szCs w:val="23"/>
        </w:rPr>
      </w:pPr>
    </w:p>
    <w:p w:rsidR="003A7614" w:rsidRPr="002B6324" w:rsidRDefault="003A7614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i/>
          <w:sz w:val="23"/>
          <w:szCs w:val="23"/>
        </w:rPr>
      </w:pPr>
    </w:p>
    <w:p w:rsidR="00177CFC" w:rsidRPr="002B6324" w:rsidRDefault="00177CFC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177CFC" w:rsidRPr="002B6324" w:rsidRDefault="00177CFC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F1660C" w:rsidRPr="002B6324" w:rsidRDefault="00F1660C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177CFC" w:rsidRPr="002B6324" w:rsidRDefault="00177CFC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177CFC" w:rsidRPr="002B6324" w:rsidRDefault="00177CFC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177CFC" w:rsidRPr="002B6324" w:rsidRDefault="00177CFC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177CFC" w:rsidRPr="002B6324" w:rsidRDefault="00177CFC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177CFC" w:rsidRPr="002B6324" w:rsidRDefault="00177CFC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177CFC" w:rsidRPr="002B6324" w:rsidRDefault="00177CFC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603A96" w:rsidRPr="002B6324" w:rsidRDefault="00603A96" w:rsidP="002B6324">
      <w:pPr>
        <w:spacing w:line="276" w:lineRule="auto"/>
        <w:jc w:val="center"/>
        <w:rPr>
          <w:rFonts w:ascii="Garamond" w:hAnsi="Garamond"/>
          <w:sz w:val="23"/>
          <w:szCs w:val="23"/>
        </w:rPr>
      </w:pPr>
      <w:r w:rsidRPr="002B6324">
        <w:rPr>
          <w:rFonts w:ascii="Garamond" w:hAnsi="Garamond"/>
          <w:sz w:val="23"/>
          <w:szCs w:val="23"/>
        </w:rPr>
        <w:t>*          *          *</w:t>
      </w:r>
    </w:p>
    <w:p w:rsidR="00D70FB4" w:rsidRPr="002B6324" w:rsidRDefault="00603A96" w:rsidP="002B6324">
      <w:pPr>
        <w:pStyle w:val="Paragraphedeliste1"/>
        <w:spacing w:line="276" w:lineRule="auto"/>
        <w:rPr>
          <w:sz w:val="23"/>
          <w:szCs w:val="23"/>
        </w:rPr>
      </w:pPr>
      <w:r w:rsidRPr="002B6324">
        <w:rPr>
          <w:sz w:val="23"/>
          <w:szCs w:val="23"/>
        </w:rPr>
        <w:t xml:space="preserve">L’article 459 du CPP prévoit </w:t>
      </w:r>
      <w:r w:rsidR="00D70FB4" w:rsidRPr="002B6324">
        <w:rPr>
          <w:sz w:val="23"/>
          <w:szCs w:val="23"/>
        </w:rPr>
        <w:t xml:space="preserve">en son alinéa 4 que </w:t>
      </w:r>
      <w:r w:rsidRPr="002B6324">
        <w:rPr>
          <w:sz w:val="23"/>
          <w:szCs w:val="23"/>
        </w:rPr>
        <w:t xml:space="preserve">la juridiction correctionnelle </w:t>
      </w:r>
      <w:r w:rsidR="00D70FB4" w:rsidRPr="002B6324">
        <w:rPr>
          <w:sz w:val="23"/>
          <w:szCs w:val="23"/>
        </w:rPr>
        <w:t xml:space="preserve">ne peut joindre au fond une exception de procédure si celle-ci </w:t>
      </w:r>
      <w:r w:rsidR="00D70FB4" w:rsidRPr="002B6324">
        <w:rPr>
          <w:sz w:val="23"/>
          <w:szCs w:val="23"/>
          <w:u w:val="single"/>
        </w:rPr>
        <w:t>touche à l’ordre public</w:t>
      </w:r>
      <w:r w:rsidR="00D70FB4" w:rsidRPr="002B6324">
        <w:rPr>
          <w:sz w:val="23"/>
          <w:szCs w:val="23"/>
        </w:rPr>
        <w:t>.</w:t>
      </w:r>
    </w:p>
    <w:p w:rsidR="00D70FB4" w:rsidRPr="002B6324" w:rsidRDefault="00D70FB4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CE42BE" w:rsidRPr="002B6324" w:rsidRDefault="00D70FB4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  <w:r w:rsidRPr="002B6324">
        <w:rPr>
          <w:sz w:val="23"/>
          <w:szCs w:val="23"/>
        </w:rPr>
        <w:t>Il est constant que les principes</w:t>
      </w:r>
      <w:r w:rsidR="00F25595" w:rsidRPr="002B6324">
        <w:rPr>
          <w:sz w:val="23"/>
          <w:szCs w:val="23"/>
        </w:rPr>
        <w:t xml:space="preserve"> afférant </w:t>
      </w:r>
      <w:r w:rsidR="00177CFC" w:rsidRPr="002B6324">
        <w:rPr>
          <w:sz w:val="23"/>
          <w:szCs w:val="23"/>
        </w:rPr>
        <w:t xml:space="preserve">à la dignité </w:t>
      </w:r>
      <w:r w:rsidR="00CE42BE" w:rsidRPr="002B6324">
        <w:rPr>
          <w:sz w:val="23"/>
          <w:szCs w:val="23"/>
        </w:rPr>
        <w:t>de la personne</w:t>
      </w:r>
      <w:r w:rsidR="00177CFC" w:rsidRPr="002B6324">
        <w:rPr>
          <w:sz w:val="23"/>
          <w:szCs w:val="23"/>
        </w:rPr>
        <w:t xml:space="preserve">, gravement atteinte en cas de fouille </w:t>
      </w:r>
      <w:r w:rsidR="00177CFC" w:rsidRPr="002B6324">
        <w:rPr>
          <w:i/>
          <w:sz w:val="23"/>
          <w:szCs w:val="23"/>
        </w:rPr>
        <w:t xml:space="preserve">in </w:t>
      </w:r>
      <w:proofErr w:type="spellStart"/>
      <w:r w:rsidR="00177CFC" w:rsidRPr="002B6324">
        <w:rPr>
          <w:i/>
          <w:sz w:val="23"/>
          <w:szCs w:val="23"/>
        </w:rPr>
        <w:t>corpore</w:t>
      </w:r>
      <w:proofErr w:type="spellEnd"/>
      <w:r w:rsidR="00177CFC" w:rsidRPr="002B6324">
        <w:rPr>
          <w:sz w:val="23"/>
          <w:szCs w:val="23"/>
        </w:rPr>
        <w:t>, sont des dispositions d’ordre public.</w:t>
      </w:r>
      <w:r w:rsidR="00CE42BE" w:rsidRPr="002B6324">
        <w:rPr>
          <w:sz w:val="23"/>
          <w:szCs w:val="23"/>
        </w:rPr>
        <w:t xml:space="preserve"> Le Conseil constitutionnel a d’ailleurs érigé la dignité de la personne au rang de principe à valeur constitutionnel</w:t>
      </w:r>
      <w:r w:rsidR="00CE42BE" w:rsidRPr="002B6324">
        <w:rPr>
          <w:rStyle w:val="Appelnotedebasdep"/>
          <w:sz w:val="23"/>
          <w:szCs w:val="23"/>
        </w:rPr>
        <w:footnoteReference w:id="2"/>
      </w:r>
      <w:r w:rsidR="00CE42BE" w:rsidRPr="002B6324">
        <w:rPr>
          <w:sz w:val="23"/>
          <w:szCs w:val="23"/>
        </w:rPr>
        <w:t>.</w:t>
      </w:r>
    </w:p>
    <w:p w:rsidR="00EA5497" w:rsidRPr="002B6324" w:rsidRDefault="00EA5497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EA5497" w:rsidRPr="002B6324" w:rsidRDefault="00EA5497" w:rsidP="002B6324">
      <w:pPr>
        <w:pStyle w:val="Paragraphedeliste1"/>
        <w:numPr>
          <w:ilvl w:val="0"/>
          <w:numId w:val="0"/>
        </w:numPr>
        <w:spacing w:line="276" w:lineRule="auto"/>
        <w:ind w:left="1068" w:hanging="360"/>
        <w:rPr>
          <w:sz w:val="23"/>
          <w:szCs w:val="23"/>
        </w:rPr>
      </w:pPr>
      <w:r w:rsidRPr="002B6324">
        <w:rPr>
          <w:sz w:val="23"/>
          <w:szCs w:val="23"/>
        </w:rPr>
        <w:t>Aussi, il sera demandé au Tribunal de céans de ne pas joindre l’incident au fond.</w:t>
      </w:r>
    </w:p>
    <w:p w:rsidR="00D70FB4" w:rsidRPr="002B6324" w:rsidRDefault="00D70FB4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D70FB4" w:rsidRPr="002B6324" w:rsidRDefault="00D70FB4" w:rsidP="002B6324">
      <w:pPr>
        <w:spacing w:line="276" w:lineRule="auto"/>
        <w:rPr>
          <w:rFonts w:ascii="Garamond" w:hAnsi="Garamond"/>
          <w:sz w:val="23"/>
          <w:szCs w:val="23"/>
        </w:rPr>
      </w:pPr>
      <w:r w:rsidRPr="002B6324">
        <w:rPr>
          <w:sz w:val="23"/>
          <w:szCs w:val="23"/>
        </w:rPr>
        <w:br w:type="page"/>
      </w:r>
    </w:p>
    <w:p w:rsidR="003171D1" w:rsidRPr="002B6324" w:rsidRDefault="003171D1" w:rsidP="002B6324">
      <w:pPr>
        <w:pStyle w:val="Paragraphedeliste1"/>
        <w:numPr>
          <w:ilvl w:val="0"/>
          <w:numId w:val="0"/>
        </w:numPr>
        <w:spacing w:line="276" w:lineRule="auto"/>
        <w:ind w:left="720"/>
        <w:jc w:val="center"/>
        <w:rPr>
          <w:b/>
          <w:smallCaps/>
          <w:sz w:val="23"/>
          <w:szCs w:val="23"/>
        </w:rPr>
      </w:pPr>
      <w:r w:rsidRPr="002B6324">
        <w:rPr>
          <w:b/>
          <w:smallCaps/>
          <w:sz w:val="23"/>
          <w:szCs w:val="23"/>
        </w:rPr>
        <w:lastRenderedPageBreak/>
        <w:t>Par ces motifs</w:t>
      </w:r>
    </w:p>
    <w:p w:rsidR="003171D1" w:rsidRPr="002B6324" w:rsidRDefault="003171D1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3171D1" w:rsidRPr="002B6324" w:rsidRDefault="003171D1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3171D1" w:rsidRPr="002B6324" w:rsidRDefault="003171D1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  <w:r w:rsidRPr="002B6324">
        <w:rPr>
          <w:sz w:val="23"/>
          <w:szCs w:val="23"/>
        </w:rPr>
        <w:t>Vu l</w:t>
      </w:r>
      <w:r w:rsidR="00A774D8" w:rsidRPr="002B6324">
        <w:rPr>
          <w:sz w:val="23"/>
          <w:szCs w:val="23"/>
        </w:rPr>
        <w:t>es articles préliminaire,</w:t>
      </w:r>
      <w:r w:rsidR="00205AB9" w:rsidRPr="002B6324">
        <w:rPr>
          <w:sz w:val="23"/>
          <w:szCs w:val="23"/>
        </w:rPr>
        <w:t xml:space="preserve"> </w:t>
      </w:r>
      <w:r w:rsidR="006461B9" w:rsidRPr="002B6324">
        <w:rPr>
          <w:sz w:val="23"/>
          <w:szCs w:val="23"/>
        </w:rPr>
        <w:t>385 et 459</w:t>
      </w:r>
      <w:r w:rsidR="00C67AC8" w:rsidRPr="002B6324">
        <w:rPr>
          <w:sz w:val="23"/>
          <w:szCs w:val="23"/>
        </w:rPr>
        <w:t xml:space="preserve"> </w:t>
      </w:r>
      <w:r w:rsidRPr="002B6324">
        <w:rPr>
          <w:sz w:val="23"/>
          <w:szCs w:val="23"/>
        </w:rPr>
        <w:t>du Code de procédure pénale,</w:t>
      </w:r>
    </w:p>
    <w:p w:rsidR="00A774D8" w:rsidRPr="002B6324" w:rsidRDefault="00A774D8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6461B9" w:rsidRPr="002B6324" w:rsidRDefault="006461B9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  <w:r w:rsidRPr="002B6324">
        <w:rPr>
          <w:sz w:val="23"/>
          <w:szCs w:val="23"/>
        </w:rPr>
        <w:t>Vu l’a</w:t>
      </w:r>
      <w:r w:rsidR="00CE42BE" w:rsidRPr="002B6324">
        <w:rPr>
          <w:sz w:val="23"/>
          <w:szCs w:val="23"/>
        </w:rPr>
        <w:t>r</w:t>
      </w:r>
      <w:r w:rsidRPr="002B6324">
        <w:rPr>
          <w:sz w:val="23"/>
          <w:szCs w:val="23"/>
        </w:rPr>
        <w:t>ticle 60 bis du Code des douanes</w:t>
      </w:r>
    </w:p>
    <w:p w:rsidR="006461B9" w:rsidRPr="002B6324" w:rsidRDefault="006461B9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3171D1" w:rsidRPr="002B6324" w:rsidRDefault="003171D1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  <w:r w:rsidRPr="002B6324">
        <w:rPr>
          <w:sz w:val="23"/>
          <w:szCs w:val="23"/>
        </w:rPr>
        <w:t>Vu les présentes conclusions,</w:t>
      </w:r>
    </w:p>
    <w:p w:rsidR="003171D1" w:rsidRPr="002B6324" w:rsidRDefault="003171D1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3171D1" w:rsidRPr="002B6324" w:rsidRDefault="003171D1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  <w:r w:rsidRPr="002B6324">
        <w:rPr>
          <w:sz w:val="23"/>
          <w:szCs w:val="23"/>
        </w:rPr>
        <w:t>Il est demandé au Tribunal de :</w:t>
      </w:r>
    </w:p>
    <w:p w:rsidR="003171D1" w:rsidRPr="002B6324" w:rsidRDefault="003171D1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304175" w:rsidRPr="002B6324" w:rsidRDefault="00304175" w:rsidP="002B6324">
      <w:pPr>
        <w:pStyle w:val="Paragraphedeliste1"/>
        <w:numPr>
          <w:ilvl w:val="0"/>
          <w:numId w:val="6"/>
        </w:numPr>
        <w:spacing w:line="276" w:lineRule="auto"/>
        <w:rPr>
          <w:sz w:val="23"/>
          <w:szCs w:val="23"/>
        </w:rPr>
      </w:pPr>
      <w:r w:rsidRPr="002B6324">
        <w:rPr>
          <w:b/>
          <w:sz w:val="23"/>
          <w:szCs w:val="23"/>
        </w:rPr>
        <w:t>Dire et juger</w:t>
      </w:r>
      <w:r w:rsidRPr="002B6324">
        <w:rPr>
          <w:sz w:val="23"/>
          <w:szCs w:val="23"/>
        </w:rPr>
        <w:t xml:space="preserve"> recevable l’exception de nullité ;</w:t>
      </w:r>
    </w:p>
    <w:p w:rsidR="00151CAB" w:rsidRPr="002B6324" w:rsidRDefault="00151CAB" w:rsidP="002B6324">
      <w:pPr>
        <w:pStyle w:val="Paragraphedeliste1"/>
        <w:numPr>
          <w:ilvl w:val="0"/>
          <w:numId w:val="0"/>
        </w:numPr>
        <w:spacing w:line="276" w:lineRule="auto"/>
        <w:ind w:left="1080"/>
        <w:rPr>
          <w:sz w:val="23"/>
          <w:szCs w:val="23"/>
        </w:rPr>
      </w:pPr>
    </w:p>
    <w:p w:rsidR="00151CAB" w:rsidRPr="002B6324" w:rsidRDefault="00151CAB" w:rsidP="002B6324">
      <w:pPr>
        <w:pStyle w:val="Paragraphedeliste1"/>
        <w:numPr>
          <w:ilvl w:val="0"/>
          <w:numId w:val="6"/>
        </w:numPr>
        <w:spacing w:line="276" w:lineRule="auto"/>
        <w:rPr>
          <w:b/>
          <w:sz w:val="23"/>
          <w:szCs w:val="23"/>
        </w:rPr>
      </w:pPr>
      <w:r w:rsidRPr="002B6324">
        <w:rPr>
          <w:b/>
          <w:sz w:val="23"/>
          <w:szCs w:val="23"/>
        </w:rPr>
        <w:t xml:space="preserve">Y répondre </w:t>
      </w:r>
      <w:r w:rsidRPr="002B6324">
        <w:rPr>
          <w:sz w:val="23"/>
          <w:szCs w:val="23"/>
        </w:rPr>
        <w:t xml:space="preserve">par jugement séparé </w:t>
      </w:r>
      <w:r w:rsidRPr="002B6324">
        <w:rPr>
          <w:i/>
          <w:sz w:val="23"/>
          <w:szCs w:val="23"/>
        </w:rPr>
        <w:t xml:space="preserve">in </w:t>
      </w:r>
      <w:proofErr w:type="spellStart"/>
      <w:r w:rsidRPr="002B6324">
        <w:rPr>
          <w:i/>
          <w:sz w:val="23"/>
          <w:szCs w:val="23"/>
        </w:rPr>
        <w:t>limine</w:t>
      </w:r>
      <w:proofErr w:type="spellEnd"/>
      <w:r w:rsidRPr="002B6324">
        <w:rPr>
          <w:i/>
          <w:sz w:val="23"/>
          <w:szCs w:val="23"/>
        </w:rPr>
        <w:t xml:space="preserve"> </w:t>
      </w:r>
      <w:proofErr w:type="spellStart"/>
      <w:r w:rsidRPr="002B6324">
        <w:rPr>
          <w:i/>
          <w:sz w:val="23"/>
          <w:szCs w:val="23"/>
        </w:rPr>
        <w:t>litis</w:t>
      </w:r>
      <w:proofErr w:type="spellEnd"/>
      <w:r w:rsidRPr="002B6324">
        <w:rPr>
          <w:i/>
          <w:sz w:val="23"/>
          <w:szCs w:val="23"/>
        </w:rPr>
        <w:t> </w:t>
      </w:r>
      <w:r w:rsidRPr="002B6324">
        <w:rPr>
          <w:sz w:val="23"/>
          <w:szCs w:val="23"/>
        </w:rPr>
        <w:t>;</w:t>
      </w:r>
    </w:p>
    <w:p w:rsidR="00304175" w:rsidRPr="002B6324" w:rsidRDefault="00304175" w:rsidP="002B6324">
      <w:pPr>
        <w:pStyle w:val="Paragraphedeliste1"/>
        <w:numPr>
          <w:ilvl w:val="0"/>
          <w:numId w:val="0"/>
        </w:numPr>
        <w:spacing w:line="276" w:lineRule="auto"/>
        <w:ind w:left="1080"/>
        <w:rPr>
          <w:sz w:val="23"/>
          <w:szCs w:val="23"/>
        </w:rPr>
      </w:pPr>
    </w:p>
    <w:p w:rsidR="00304175" w:rsidRPr="002B6324" w:rsidRDefault="003171D1" w:rsidP="002B6324">
      <w:pPr>
        <w:pStyle w:val="Paragraphedeliste1"/>
        <w:numPr>
          <w:ilvl w:val="0"/>
          <w:numId w:val="6"/>
        </w:numPr>
        <w:spacing w:line="276" w:lineRule="auto"/>
        <w:rPr>
          <w:sz w:val="23"/>
          <w:szCs w:val="23"/>
        </w:rPr>
      </w:pPr>
      <w:r w:rsidRPr="002B6324">
        <w:rPr>
          <w:b/>
          <w:sz w:val="23"/>
          <w:szCs w:val="23"/>
        </w:rPr>
        <w:t>Constater</w:t>
      </w:r>
      <w:r w:rsidRPr="002B6324">
        <w:rPr>
          <w:sz w:val="23"/>
          <w:szCs w:val="23"/>
        </w:rPr>
        <w:t xml:space="preserve"> qu</w:t>
      </w:r>
      <w:r w:rsidR="006461B9" w:rsidRPr="002B6324">
        <w:rPr>
          <w:sz w:val="23"/>
          <w:szCs w:val="23"/>
        </w:rPr>
        <w:t>’aucun indice sérieux</w:t>
      </w:r>
      <w:r w:rsidR="00CE42BE" w:rsidRPr="002B6324">
        <w:rPr>
          <w:sz w:val="23"/>
          <w:szCs w:val="23"/>
        </w:rPr>
        <w:t xml:space="preserve"> au sens de l’article 60 bis du Code des douanes </w:t>
      </w:r>
      <w:r w:rsidR="006461B9" w:rsidRPr="002B6324">
        <w:rPr>
          <w:sz w:val="23"/>
          <w:szCs w:val="23"/>
        </w:rPr>
        <w:t xml:space="preserve">ne laissait présumer que </w:t>
      </w:r>
      <w:r w:rsidR="002B6324">
        <w:rPr>
          <w:sz w:val="23"/>
          <w:szCs w:val="23"/>
        </w:rPr>
        <w:t xml:space="preserve">le Concluant </w:t>
      </w:r>
      <w:r w:rsidR="006461B9" w:rsidRPr="002B6324">
        <w:rPr>
          <w:sz w:val="23"/>
          <w:szCs w:val="23"/>
        </w:rPr>
        <w:t>transportait des produits stupéfiants dissimulés dans son organisme </w:t>
      </w:r>
      <w:r w:rsidR="00304175" w:rsidRPr="002B6324">
        <w:rPr>
          <w:sz w:val="23"/>
          <w:szCs w:val="23"/>
        </w:rPr>
        <w:t>;</w:t>
      </w:r>
    </w:p>
    <w:p w:rsidR="00304175" w:rsidRPr="002B6324" w:rsidRDefault="00304175" w:rsidP="002B6324">
      <w:pPr>
        <w:pStyle w:val="Paragraphedeliste1"/>
        <w:numPr>
          <w:ilvl w:val="0"/>
          <w:numId w:val="0"/>
        </w:numPr>
        <w:spacing w:line="276" w:lineRule="auto"/>
        <w:ind w:left="1080"/>
        <w:rPr>
          <w:sz w:val="23"/>
          <w:szCs w:val="23"/>
        </w:rPr>
      </w:pPr>
    </w:p>
    <w:p w:rsidR="003171D1" w:rsidRPr="002B6324" w:rsidRDefault="00304175" w:rsidP="002B6324">
      <w:pPr>
        <w:pStyle w:val="Paragraphedeliste1"/>
        <w:numPr>
          <w:ilvl w:val="0"/>
          <w:numId w:val="6"/>
        </w:numPr>
        <w:spacing w:line="276" w:lineRule="auto"/>
        <w:rPr>
          <w:b/>
          <w:sz w:val="23"/>
          <w:szCs w:val="23"/>
        </w:rPr>
      </w:pPr>
      <w:r w:rsidRPr="002B6324">
        <w:rPr>
          <w:b/>
          <w:sz w:val="23"/>
          <w:szCs w:val="23"/>
        </w:rPr>
        <w:t xml:space="preserve">Constater </w:t>
      </w:r>
      <w:r w:rsidR="006461B9" w:rsidRPr="002B6324">
        <w:rPr>
          <w:sz w:val="23"/>
          <w:szCs w:val="23"/>
        </w:rPr>
        <w:t>la violation de l’article 60 bis du Code des douanes</w:t>
      </w:r>
      <w:r w:rsidR="005C3EAA" w:rsidRPr="002B6324">
        <w:rPr>
          <w:sz w:val="23"/>
          <w:szCs w:val="23"/>
        </w:rPr>
        <w:t> ;</w:t>
      </w:r>
    </w:p>
    <w:p w:rsidR="00266404" w:rsidRPr="002B6324" w:rsidRDefault="00266404" w:rsidP="002B6324">
      <w:pPr>
        <w:pStyle w:val="Paragraphedeliste1"/>
        <w:numPr>
          <w:ilvl w:val="0"/>
          <w:numId w:val="0"/>
        </w:numPr>
        <w:spacing w:line="276" w:lineRule="auto"/>
        <w:ind w:left="1080"/>
        <w:rPr>
          <w:sz w:val="23"/>
          <w:szCs w:val="23"/>
        </w:rPr>
      </w:pPr>
    </w:p>
    <w:p w:rsidR="00266404" w:rsidRPr="002B6324" w:rsidRDefault="005C3EAA" w:rsidP="002B6324">
      <w:pPr>
        <w:pStyle w:val="Paragraphedeliste1"/>
        <w:numPr>
          <w:ilvl w:val="0"/>
          <w:numId w:val="6"/>
        </w:numPr>
        <w:spacing w:line="276" w:lineRule="auto"/>
        <w:rPr>
          <w:sz w:val="23"/>
          <w:szCs w:val="23"/>
        </w:rPr>
      </w:pPr>
      <w:r w:rsidRPr="002B6324">
        <w:rPr>
          <w:b/>
          <w:sz w:val="23"/>
          <w:szCs w:val="23"/>
        </w:rPr>
        <w:t>Prononcer</w:t>
      </w:r>
      <w:r w:rsidR="00266404" w:rsidRPr="002B6324">
        <w:rPr>
          <w:sz w:val="23"/>
          <w:szCs w:val="23"/>
        </w:rPr>
        <w:t xml:space="preserve"> la nullité </w:t>
      </w:r>
      <w:r w:rsidR="006461B9" w:rsidRPr="002B6324">
        <w:rPr>
          <w:sz w:val="23"/>
          <w:szCs w:val="23"/>
        </w:rPr>
        <w:t xml:space="preserve">de la fouille </w:t>
      </w:r>
      <w:r w:rsidR="006461B9" w:rsidRPr="002B6324">
        <w:rPr>
          <w:i/>
          <w:sz w:val="23"/>
          <w:szCs w:val="23"/>
        </w:rPr>
        <w:t xml:space="preserve">in </w:t>
      </w:r>
      <w:proofErr w:type="spellStart"/>
      <w:r w:rsidR="006461B9" w:rsidRPr="002B6324">
        <w:rPr>
          <w:i/>
          <w:sz w:val="23"/>
          <w:szCs w:val="23"/>
        </w:rPr>
        <w:t>corpore</w:t>
      </w:r>
      <w:proofErr w:type="spellEnd"/>
      <w:r w:rsidR="006461B9" w:rsidRPr="002B6324">
        <w:rPr>
          <w:i/>
          <w:sz w:val="23"/>
          <w:szCs w:val="23"/>
        </w:rPr>
        <w:t xml:space="preserve"> </w:t>
      </w:r>
      <w:r w:rsidR="006461B9" w:rsidRPr="002B6324">
        <w:rPr>
          <w:sz w:val="23"/>
          <w:szCs w:val="23"/>
        </w:rPr>
        <w:t>ainsi que de tous les actes dont elle est le support nécessaire, à commencer par la retenue douanière et la saisine du Tribunal de céans ;</w:t>
      </w:r>
    </w:p>
    <w:p w:rsidR="006461B9" w:rsidRPr="002B6324" w:rsidRDefault="006461B9" w:rsidP="002B6324">
      <w:pPr>
        <w:pStyle w:val="Paragraphedeliste1"/>
        <w:numPr>
          <w:ilvl w:val="0"/>
          <w:numId w:val="0"/>
        </w:numPr>
        <w:spacing w:line="276" w:lineRule="auto"/>
        <w:ind w:left="1080"/>
        <w:rPr>
          <w:sz w:val="23"/>
          <w:szCs w:val="23"/>
        </w:rPr>
      </w:pPr>
    </w:p>
    <w:p w:rsidR="006461B9" w:rsidRPr="002B6324" w:rsidRDefault="006461B9" w:rsidP="002B6324">
      <w:pPr>
        <w:pStyle w:val="Paragraphedeliste1"/>
        <w:numPr>
          <w:ilvl w:val="0"/>
          <w:numId w:val="6"/>
        </w:numPr>
        <w:spacing w:line="276" w:lineRule="auto"/>
        <w:rPr>
          <w:sz w:val="23"/>
          <w:szCs w:val="23"/>
        </w:rPr>
      </w:pPr>
      <w:r w:rsidRPr="002B6324">
        <w:rPr>
          <w:b/>
          <w:sz w:val="23"/>
          <w:szCs w:val="23"/>
        </w:rPr>
        <w:t>Ordonner</w:t>
      </w:r>
      <w:r w:rsidRPr="002B6324">
        <w:rPr>
          <w:sz w:val="23"/>
          <w:szCs w:val="23"/>
        </w:rPr>
        <w:t xml:space="preserve"> la remise en liberté immédiate de </w:t>
      </w:r>
    </w:p>
    <w:p w:rsidR="00266404" w:rsidRPr="002B6324" w:rsidRDefault="00266404" w:rsidP="002B6324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3171D1" w:rsidRPr="002B6324" w:rsidRDefault="003171D1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266404" w:rsidRPr="002B6324" w:rsidRDefault="00266404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266404" w:rsidRPr="002B6324" w:rsidRDefault="00266404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266404" w:rsidRPr="002B6324" w:rsidRDefault="00266404" w:rsidP="002B6324">
      <w:pPr>
        <w:pStyle w:val="Paragraphedeliste1"/>
        <w:numPr>
          <w:ilvl w:val="0"/>
          <w:numId w:val="0"/>
        </w:numPr>
        <w:spacing w:line="276" w:lineRule="auto"/>
        <w:ind w:left="720" w:hanging="360"/>
        <w:jc w:val="right"/>
        <w:rPr>
          <w:b/>
          <w:sz w:val="23"/>
          <w:szCs w:val="23"/>
        </w:rPr>
      </w:pPr>
      <w:r w:rsidRPr="002B6324">
        <w:rPr>
          <w:b/>
          <w:sz w:val="23"/>
          <w:szCs w:val="23"/>
        </w:rPr>
        <w:t>Sous tous réserves</w:t>
      </w:r>
    </w:p>
    <w:sectPr w:rsidR="00266404" w:rsidRPr="002B6324" w:rsidSect="00801C8E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1E" w:rsidRDefault="009B151E" w:rsidP="00C55882">
      <w:pPr>
        <w:spacing w:after="0" w:line="240" w:lineRule="auto"/>
      </w:pPr>
      <w:r>
        <w:separator/>
      </w:r>
    </w:p>
  </w:endnote>
  <w:endnote w:type="continuationSeparator" w:id="0">
    <w:p w:rsidR="009B151E" w:rsidRDefault="009B151E" w:rsidP="00C5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484133895"/>
      <w:docPartObj>
        <w:docPartGallery w:val="Page Numbers (Bottom of Page)"/>
        <w:docPartUnique/>
      </w:docPartObj>
    </w:sdtPr>
    <w:sdtEndPr/>
    <w:sdtContent>
      <w:p w:rsidR="00A774D8" w:rsidRPr="00A774D8" w:rsidRDefault="00A774D8">
        <w:pPr>
          <w:pStyle w:val="Pieddepage"/>
          <w:jc w:val="center"/>
          <w:rPr>
            <w:rFonts w:ascii="Garamond" w:hAnsi="Garamond"/>
          </w:rPr>
        </w:pPr>
        <w:r w:rsidRPr="00A774D8">
          <w:rPr>
            <w:rFonts w:ascii="Garamond" w:hAnsi="Garamond"/>
          </w:rPr>
          <w:fldChar w:fldCharType="begin"/>
        </w:r>
        <w:r w:rsidRPr="00A774D8">
          <w:rPr>
            <w:rFonts w:ascii="Garamond" w:hAnsi="Garamond"/>
          </w:rPr>
          <w:instrText>PAGE   \* MERGEFORMAT</w:instrText>
        </w:r>
        <w:r w:rsidRPr="00A774D8">
          <w:rPr>
            <w:rFonts w:ascii="Garamond" w:hAnsi="Garamond"/>
          </w:rPr>
          <w:fldChar w:fldCharType="separate"/>
        </w:r>
        <w:r w:rsidR="00040687">
          <w:rPr>
            <w:rFonts w:ascii="Garamond" w:hAnsi="Garamond"/>
            <w:noProof/>
          </w:rPr>
          <w:t>2</w:t>
        </w:r>
        <w:r w:rsidRPr="00A774D8">
          <w:rPr>
            <w:rFonts w:ascii="Garamond" w:hAnsi="Garamond"/>
          </w:rPr>
          <w:fldChar w:fldCharType="end"/>
        </w:r>
      </w:p>
    </w:sdtContent>
  </w:sdt>
  <w:p w:rsidR="00266404" w:rsidRPr="00A774D8" w:rsidRDefault="00266404">
    <w:pPr>
      <w:pStyle w:val="Pieddepage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1E" w:rsidRDefault="009B151E" w:rsidP="00C55882">
      <w:pPr>
        <w:spacing w:after="0" w:line="240" w:lineRule="auto"/>
      </w:pPr>
      <w:r>
        <w:separator/>
      </w:r>
    </w:p>
  </w:footnote>
  <w:footnote w:type="continuationSeparator" w:id="0">
    <w:p w:rsidR="009B151E" w:rsidRDefault="009B151E" w:rsidP="00C55882">
      <w:pPr>
        <w:spacing w:after="0" w:line="240" w:lineRule="auto"/>
      </w:pPr>
      <w:r>
        <w:continuationSeparator/>
      </w:r>
    </w:p>
  </w:footnote>
  <w:footnote w:id="1">
    <w:p w:rsidR="00155A4F" w:rsidRPr="00CE42BE" w:rsidRDefault="00155A4F">
      <w:pPr>
        <w:pStyle w:val="Notedebasdepage"/>
        <w:rPr>
          <w:rFonts w:ascii="Garamond" w:hAnsi="Garamond"/>
          <w:sz w:val="18"/>
          <w:szCs w:val="18"/>
        </w:rPr>
      </w:pPr>
      <w:r w:rsidRPr="00CE42BE">
        <w:rPr>
          <w:rStyle w:val="Appelnotedebasdep"/>
          <w:rFonts w:ascii="Garamond" w:hAnsi="Garamond"/>
          <w:sz w:val="18"/>
          <w:szCs w:val="18"/>
        </w:rPr>
        <w:footnoteRef/>
      </w:r>
      <w:r w:rsidRPr="00CE42BE">
        <w:rPr>
          <w:rFonts w:ascii="Garamond" w:hAnsi="Garamond"/>
          <w:sz w:val="18"/>
          <w:szCs w:val="18"/>
        </w:rPr>
        <w:t xml:space="preserve"> </w:t>
      </w:r>
      <w:r w:rsidRPr="00CE42BE">
        <w:rPr>
          <w:rFonts w:ascii="Garamond" w:hAnsi="Garamond" w:cs="Calibri"/>
          <w:sz w:val="18"/>
          <w:szCs w:val="18"/>
        </w:rPr>
        <w:t xml:space="preserve">Martine Herzog-Evans, </w:t>
      </w:r>
      <w:r w:rsidRPr="00CE42BE">
        <w:rPr>
          <w:rFonts w:ascii="Garamond" w:hAnsi="Garamond" w:cs="Calibri"/>
          <w:i/>
          <w:sz w:val="18"/>
          <w:szCs w:val="18"/>
        </w:rPr>
        <w:t>Fouilles Corporelles et dignité de l’homme</w:t>
      </w:r>
      <w:r w:rsidRPr="00CE42BE">
        <w:rPr>
          <w:rFonts w:ascii="Garamond" w:hAnsi="Garamond" w:cs="Calibri"/>
          <w:sz w:val="18"/>
          <w:szCs w:val="18"/>
        </w:rPr>
        <w:t>, RCS 1998.735, Dalloz.</w:t>
      </w:r>
    </w:p>
  </w:footnote>
  <w:footnote w:id="2">
    <w:p w:rsidR="00CE42BE" w:rsidRPr="00CE42BE" w:rsidRDefault="00CE42BE" w:rsidP="00CE42BE">
      <w:pPr>
        <w:pStyle w:val="Notedebasdepage"/>
        <w:rPr>
          <w:rFonts w:ascii="Garamond" w:hAnsi="Garamond"/>
          <w:sz w:val="18"/>
          <w:szCs w:val="18"/>
        </w:rPr>
      </w:pPr>
      <w:r w:rsidRPr="00CE42BE">
        <w:rPr>
          <w:rStyle w:val="Appelnotedebasdep"/>
          <w:rFonts w:ascii="Garamond" w:hAnsi="Garamond"/>
          <w:sz w:val="18"/>
          <w:szCs w:val="18"/>
        </w:rPr>
        <w:footnoteRef/>
      </w:r>
      <w:r w:rsidRPr="00CE42BE">
        <w:rPr>
          <w:rFonts w:ascii="Garamond" w:hAnsi="Garamond"/>
          <w:sz w:val="18"/>
          <w:szCs w:val="18"/>
        </w:rPr>
        <w:t xml:space="preserve"> Décision n° 94-343/344 DC du 27 juillet 1994 </w:t>
      </w:r>
      <w:r w:rsidRPr="00CE42BE">
        <w:rPr>
          <w:rFonts w:ascii="Garamond" w:hAnsi="Garamond"/>
          <w:i/>
          <w:sz w:val="18"/>
          <w:szCs w:val="18"/>
        </w:rPr>
        <w:t>Loi relative au respect du corps humain et loi relative au don et à l'utilisation des éléments et produits du corps humain, à l'assistance médicale à la procréation et au diagnostic prénatal</w:t>
      </w:r>
      <w:r>
        <w:rPr>
          <w:rFonts w:ascii="Garamond" w:hAnsi="Garamond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EC1"/>
    <w:multiLevelType w:val="hybridMultilevel"/>
    <w:tmpl w:val="CD3620CA"/>
    <w:lvl w:ilvl="0" w:tplc="36D628C8">
      <w:start w:val="1"/>
      <w:numFmt w:val="decimal"/>
      <w:pStyle w:val="ParagrapheList"/>
      <w:lvlText w:val="%1."/>
      <w:lvlJc w:val="left"/>
      <w:pPr>
        <w:ind w:left="720" w:hanging="360"/>
      </w:pPr>
      <w:rPr>
        <w:rFonts w:ascii="Garamond" w:hAnsi="Garamond" w:hint="default"/>
        <w:b/>
        <w:i w:val="0"/>
        <w:sz w:val="18"/>
        <w:szCs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B8A"/>
    <w:multiLevelType w:val="hybridMultilevel"/>
    <w:tmpl w:val="10CEF89A"/>
    <w:lvl w:ilvl="0" w:tplc="3E827478">
      <w:start w:val="1"/>
      <w:numFmt w:val="decimal"/>
      <w:lvlText w:val="II.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DF4187"/>
    <w:multiLevelType w:val="hybridMultilevel"/>
    <w:tmpl w:val="7A6E6B2C"/>
    <w:lvl w:ilvl="0" w:tplc="E162FF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150D22"/>
    <w:multiLevelType w:val="hybridMultilevel"/>
    <w:tmpl w:val="A2120302"/>
    <w:lvl w:ilvl="0" w:tplc="745680D4">
      <w:start w:val="1"/>
      <w:numFmt w:val="bullet"/>
      <w:lvlText w:val="-"/>
      <w:lvlJc w:val="left"/>
      <w:pPr>
        <w:ind w:left="4122" w:hanging="360"/>
      </w:pPr>
      <w:rPr>
        <w:rFonts w:ascii="Garamond" w:eastAsia="Times New Roman" w:hAnsi="Garamond" w:cs="Arial" w:hint="default"/>
      </w:rPr>
    </w:lvl>
    <w:lvl w:ilvl="1" w:tplc="040C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 w15:restartNumberingAfterBreak="0">
    <w:nsid w:val="362E2F01"/>
    <w:multiLevelType w:val="hybridMultilevel"/>
    <w:tmpl w:val="9A6A54F2"/>
    <w:lvl w:ilvl="0" w:tplc="B1DCB498">
      <w:start w:val="1"/>
      <w:numFmt w:val="bullet"/>
      <w:lvlText w:val="-"/>
      <w:lvlJc w:val="left"/>
      <w:pPr>
        <w:ind w:left="1065" w:hanging="360"/>
      </w:pPr>
      <w:rPr>
        <w:rFonts w:ascii="Book Antiqua" w:eastAsia="Times New Roman" w:hAnsi="Book Antiqua" w:cs="Courier New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C670C61"/>
    <w:multiLevelType w:val="hybridMultilevel"/>
    <w:tmpl w:val="0E760B66"/>
    <w:lvl w:ilvl="0" w:tplc="877069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B85C5B"/>
    <w:multiLevelType w:val="hybridMultilevel"/>
    <w:tmpl w:val="74845260"/>
    <w:lvl w:ilvl="0" w:tplc="156668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E827478">
      <w:start w:val="1"/>
      <w:numFmt w:val="decimal"/>
      <w:lvlText w:val="II.%2."/>
      <w:lvlJc w:val="left"/>
      <w:pPr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677553"/>
    <w:multiLevelType w:val="hybridMultilevel"/>
    <w:tmpl w:val="50E83532"/>
    <w:lvl w:ilvl="0" w:tplc="22AA3128">
      <w:start w:val="1"/>
      <w:numFmt w:val="bullet"/>
      <w:pStyle w:val="TiretLis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2A4FDD"/>
    <w:multiLevelType w:val="hybridMultilevel"/>
    <w:tmpl w:val="EBCE04D6"/>
    <w:lvl w:ilvl="0" w:tplc="F81CDE08">
      <w:start w:val="1"/>
      <w:numFmt w:val="decimal"/>
      <w:pStyle w:val="Corpsdetextenumrot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0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8"/>
  </w:num>
  <w:num w:numId="13">
    <w:abstractNumId w:val="0"/>
  </w:num>
  <w:num w:numId="14">
    <w:abstractNumId w:val="0"/>
  </w:num>
  <w:num w:numId="15">
    <w:abstractNumId w:val="4"/>
  </w:num>
  <w:num w:numId="16">
    <w:abstractNumId w:val="3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AB"/>
    <w:rsid w:val="00000B68"/>
    <w:rsid w:val="00040687"/>
    <w:rsid w:val="00042A33"/>
    <w:rsid w:val="000B0748"/>
    <w:rsid w:val="000C7E06"/>
    <w:rsid w:val="000E5881"/>
    <w:rsid w:val="00104C71"/>
    <w:rsid w:val="001126B0"/>
    <w:rsid w:val="001129EA"/>
    <w:rsid w:val="00151CAB"/>
    <w:rsid w:val="00155A4F"/>
    <w:rsid w:val="00177CFC"/>
    <w:rsid w:val="00180E17"/>
    <w:rsid w:val="00182413"/>
    <w:rsid w:val="001949CB"/>
    <w:rsid w:val="001D426C"/>
    <w:rsid w:val="00205AB9"/>
    <w:rsid w:val="002136D8"/>
    <w:rsid w:val="0023078E"/>
    <w:rsid w:val="00263387"/>
    <w:rsid w:val="00266404"/>
    <w:rsid w:val="002A4495"/>
    <w:rsid w:val="002B11DA"/>
    <w:rsid w:val="002B6324"/>
    <w:rsid w:val="00304175"/>
    <w:rsid w:val="003171D1"/>
    <w:rsid w:val="003217E5"/>
    <w:rsid w:val="003546D2"/>
    <w:rsid w:val="003A4A73"/>
    <w:rsid w:val="003A7614"/>
    <w:rsid w:val="00465CFF"/>
    <w:rsid w:val="004D67AF"/>
    <w:rsid w:val="0050722E"/>
    <w:rsid w:val="00512974"/>
    <w:rsid w:val="00534870"/>
    <w:rsid w:val="0053785B"/>
    <w:rsid w:val="00573926"/>
    <w:rsid w:val="005C3EAA"/>
    <w:rsid w:val="00603A96"/>
    <w:rsid w:val="00603BDC"/>
    <w:rsid w:val="006043BA"/>
    <w:rsid w:val="0061707E"/>
    <w:rsid w:val="006461B9"/>
    <w:rsid w:val="00653FB6"/>
    <w:rsid w:val="00654F07"/>
    <w:rsid w:val="00666D9B"/>
    <w:rsid w:val="006D6C1E"/>
    <w:rsid w:val="00801C8E"/>
    <w:rsid w:val="00830A28"/>
    <w:rsid w:val="008A1CC9"/>
    <w:rsid w:val="00945C8E"/>
    <w:rsid w:val="00951DE4"/>
    <w:rsid w:val="00972C50"/>
    <w:rsid w:val="00984325"/>
    <w:rsid w:val="0099124F"/>
    <w:rsid w:val="009A646C"/>
    <w:rsid w:val="009B151E"/>
    <w:rsid w:val="00A33273"/>
    <w:rsid w:val="00A43B84"/>
    <w:rsid w:val="00A774D8"/>
    <w:rsid w:val="00A81244"/>
    <w:rsid w:val="00AA70AB"/>
    <w:rsid w:val="00AB22F1"/>
    <w:rsid w:val="00BA2E46"/>
    <w:rsid w:val="00BC28B8"/>
    <w:rsid w:val="00C1739E"/>
    <w:rsid w:val="00C4241B"/>
    <w:rsid w:val="00C45C86"/>
    <w:rsid w:val="00C52A6E"/>
    <w:rsid w:val="00C55882"/>
    <w:rsid w:val="00C67AC8"/>
    <w:rsid w:val="00CD0550"/>
    <w:rsid w:val="00CD33F3"/>
    <w:rsid w:val="00CE42BE"/>
    <w:rsid w:val="00D70FB4"/>
    <w:rsid w:val="00D83D6D"/>
    <w:rsid w:val="00D97F25"/>
    <w:rsid w:val="00DB6A58"/>
    <w:rsid w:val="00E710D7"/>
    <w:rsid w:val="00E94D0B"/>
    <w:rsid w:val="00EA5497"/>
    <w:rsid w:val="00F1660C"/>
    <w:rsid w:val="00F25595"/>
    <w:rsid w:val="00F645EA"/>
    <w:rsid w:val="00F9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CFB5"/>
  <w15:chartTrackingRefBased/>
  <w15:docId w15:val="{DEC7F8A0-80F9-42DD-9270-D6401E98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rsid w:val="00AA70AB"/>
    <w:p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character" w:customStyle="1" w:styleId="BodyChar">
    <w:name w:val="Body Char"/>
    <w:link w:val="Body"/>
    <w:locked/>
    <w:rsid w:val="00AA70AB"/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styleId="Paragraphedeliste">
    <w:name w:val="List Paragraph"/>
    <w:basedOn w:val="Normal"/>
    <w:link w:val="ParagraphedelisteCar"/>
    <w:uiPriority w:val="34"/>
    <w:qFormat/>
    <w:rsid w:val="00AA70AB"/>
    <w:pPr>
      <w:ind w:left="720"/>
      <w:contextualSpacing/>
    </w:pPr>
  </w:style>
  <w:style w:type="paragraph" w:customStyle="1" w:styleId="ParagrapheList">
    <w:name w:val="Paragraphe List"/>
    <w:basedOn w:val="Paragraphedeliste"/>
    <w:rsid w:val="00AA70AB"/>
    <w:pPr>
      <w:numPr>
        <w:numId w:val="1"/>
      </w:numPr>
      <w:jc w:val="both"/>
    </w:pPr>
    <w:rPr>
      <w:rFonts w:ascii="Garamond" w:hAnsi="Garamond"/>
    </w:rPr>
  </w:style>
  <w:style w:type="paragraph" w:customStyle="1" w:styleId="Paragraphenormal">
    <w:name w:val="Paragraphe normal"/>
    <w:basedOn w:val="Paragraphedeliste"/>
    <w:link w:val="ParagraphenormalCar"/>
    <w:qFormat/>
    <w:rsid w:val="00AA70AB"/>
    <w:pPr>
      <w:jc w:val="both"/>
    </w:pPr>
    <w:rPr>
      <w:rFonts w:ascii="Garamond" w:hAnsi="Garamond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A70AB"/>
  </w:style>
  <w:style w:type="paragraph" w:customStyle="1" w:styleId="TiretList">
    <w:name w:val="Tiret List"/>
    <w:basedOn w:val="Paragraphedeliste"/>
    <w:link w:val="TiretListCar"/>
    <w:qFormat/>
    <w:rsid w:val="00AA70AB"/>
    <w:pPr>
      <w:numPr>
        <w:numId w:val="2"/>
      </w:numPr>
      <w:jc w:val="both"/>
    </w:pPr>
    <w:rPr>
      <w:rFonts w:ascii="Garamond" w:hAnsi="Garamond"/>
    </w:rPr>
  </w:style>
  <w:style w:type="character" w:customStyle="1" w:styleId="ParagraphenormalCar">
    <w:name w:val="Paragraphe normal Car"/>
    <w:basedOn w:val="ParagraphedelisteCar"/>
    <w:link w:val="Paragraphenormal"/>
    <w:rsid w:val="00AA70AB"/>
    <w:rPr>
      <w:rFonts w:ascii="Garamond" w:hAnsi="Garamond"/>
    </w:rPr>
  </w:style>
  <w:style w:type="paragraph" w:customStyle="1" w:styleId="Paragraphedeliste1">
    <w:name w:val="Paragraphe de liste1"/>
    <w:basedOn w:val="ParagrapheList"/>
    <w:link w:val="ListParagraphCar"/>
    <w:qFormat/>
    <w:rsid w:val="00AA70AB"/>
  </w:style>
  <w:style w:type="character" w:customStyle="1" w:styleId="TiretListCar">
    <w:name w:val="Tiret List Car"/>
    <w:basedOn w:val="ParagraphedelisteCar"/>
    <w:link w:val="TiretList"/>
    <w:rsid w:val="00AA70AB"/>
    <w:rPr>
      <w:rFonts w:ascii="Garamond" w:hAnsi="Garamond"/>
    </w:rPr>
  </w:style>
  <w:style w:type="character" w:customStyle="1" w:styleId="ListParagraphCar">
    <w:name w:val="List Paragraph Car"/>
    <w:basedOn w:val="Policepardfaut"/>
    <w:link w:val="Paragraphedeliste1"/>
    <w:rsid w:val="00AA70AB"/>
    <w:rPr>
      <w:rFonts w:ascii="Garamond" w:hAnsi="Garamon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58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58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588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66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404"/>
  </w:style>
  <w:style w:type="paragraph" w:styleId="Pieddepage">
    <w:name w:val="footer"/>
    <w:basedOn w:val="Normal"/>
    <w:link w:val="PieddepageCar"/>
    <w:uiPriority w:val="99"/>
    <w:unhideWhenUsed/>
    <w:rsid w:val="00266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404"/>
  </w:style>
  <w:style w:type="paragraph" w:styleId="Sansinterligne">
    <w:name w:val="No Spacing"/>
    <w:link w:val="SansinterligneCar"/>
    <w:uiPriority w:val="1"/>
    <w:qFormat/>
    <w:rsid w:val="00801C8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01C8E"/>
    <w:rPr>
      <w:rFonts w:eastAsiaTheme="minorEastAsia"/>
      <w:lang w:eastAsia="fr-FR"/>
    </w:rPr>
  </w:style>
  <w:style w:type="paragraph" w:customStyle="1" w:styleId="Corpsdetextenumrot">
    <w:name w:val="Corps de texte numéroté"/>
    <w:basedOn w:val="Normal"/>
    <w:link w:val="CorpsdetextenumrotCar"/>
    <w:qFormat/>
    <w:rsid w:val="00104C71"/>
    <w:pPr>
      <w:keepNext/>
      <w:keepLines/>
      <w:numPr>
        <w:numId w:val="12"/>
      </w:numPr>
      <w:spacing w:after="140" w:line="290" w:lineRule="auto"/>
      <w:jc w:val="both"/>
      <w:outlineLvl w:val="3"/>
    </w:pPr>
    <w:rPr>
      <w:rFonts w:ascii="Calibri" w:eastAsia="Times New Roman" w:hAnsi="Calibri" w:cs="Times New Roman"/>
      <w:kern w:val="20"/>
      <w:sz w:val="21"/>
      <w:szCs w:val="24"/>
      <w:lang w:eastAsia="en-GB"/>
    </w:rPr>
  </w:style>
  <w:style w:type="character" w:customStyle="1" w:styleId="CorpsdetextenumrotCar">
    <w:name w:val="Corps de texte numéroté Car"/>
    <w:basedOn w:val="Policepardfaut"/>
    <w:link w:val="Corpsdetextenumrot"/>
    <w:rsid w:val="00104C71"/>
    <w:rPr>
      <w:rFonts w:ascii="Calibri" w:eastAsia="Times New Roman" w:hAnsi="Calibri" w:cs="Times New Roman"/>
      <w:kern w:val="20"/>
      <w:sz w:val="21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9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Bougartchev Moyne &amp; Associés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HAERI</dc:creator>
  <cp:keywords/>
  <dc:description/>
  <cp:lastModifiedBy>Nima HAERI</cp:lastModifiedBy>
  <cp:revision>22</cp:revision>
  <dcterms:created xsi:type="dcterms:W3CDTF">2018-10-23T17:53:00Z</dcterms:created>
  <dcterms:modified xsi:type="dcterms:W3CDTF">2018-12-19T14:52:00Z</dcterms:modified>
</cp:coreProperties>
</file>