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A70AB" w:rsidRPr="00E00C0C" w:rsidTr="006668B6">
        <w:tc>
          <w:tcPr>
            <w:tcW w:w="4531" w:type="dxa"/>
          </w:tcPr>
          <w:p w:rsidR="00AA70AB" w:rsidRPr="00E00C0C" w:rsidRDefault="00AA70AB" w:rsidP="003F5F7F">
            <w:pPr>
              <w:rPr>
                <w:rFonts w:ascii="Garamond" w:hAnsi="Garamond"/>
              </w:rPr>
            </w:pPr>
            <w:bookmarkStart w:id="0" w:name="_GoBack"/>
            <w:bookmarkEnd w:id="0"/>
            <w:r w:rsidRPr="00E00C0C">
              <w:rPr>
                <w:rFonts w:ascii="Garamond" w:hAnsi="Garamond"/>
              </w:rPr>
              <w:t xml:space="preserve">N° du Parquet : </w:t>
            </w:r>
          </w:p>
          <w:p w:rsidR="00AA70AB" w:rsidRPr="00E00C0C" w:rsidRDefault="00AA70AB" w:rsidP="003F5F7F">
            <w:pPr>
              <w:rPr>
                <w:rFonts w:ascii="Garamond" w:hAnsi="Garamond"/>
              </w:rPr>
            </w:pPr>
            <w:r w:rsidRPr="00E00C0C">
              <w:rPr>
                <w:rFonts w:ascii="Garamond" w:hAnsi="Garamond"/>
              </w:rPr>
              <w:t xml:space="preserve">Audience du </w:t>
            </w:r>
          </w:p>
        </w:tc>
        <w:tc>
          <w:tcPr>
            <w:tcW w:w="4531" w:type="dxa"/>
          </w:tcPr>
          <w:p w:rsidR="00AA70AB" w:rsidRPr="00E00C0C" w:rsidRDefault="00AA70AB" w:rsidP="003F5F7F">
            <w:pPr>
              <w:jc w:val="right"/>
              <w:rPr>
                <w:rFonts w:ascii="Garamond" w:hAnsi="Garamond"/>
              </w:rPr>
            </w:pPr>
            <w:r w:rsidRPr="00E00C0C">
              <w:rPr>
                <w:rFonts w:ascii="Garamond" w:hAnsi="Garamond"/>
              </w:rPr>
              <w:t xml:space="preserve">A Madame et Messieurs les </w:t>
            </w:r>
            <w:r w:rsidRPr="00E00C0C">
              <w:rPr>
                <w:rFonts w:ascii="Garamond" w:hAnsi="Garamond"/>
              </w:rPr>
              <w:br/>
              <w:t xml:space="preserve">Président et Assesseurs composant </w:t>
            </w:r>
            <w:r w:rsidRPr="00E00C0C">
              <w:rPr>
                <w:rFonts w:ascii="Garamond" w:hAnsi="Garamond"/>
              </w:rPr>
              <w:br/>
              <w:t>la 23</w:t>
            </w:r>
            <w:r w:rsidRPr="00E00C0C">
              <w:rPr>
                <w:rFonts w:ascii="Garamond" w:hAnsi="Garamond"/>
                <w:vertAlign w:val="superscript"/>
              </w:rPr>
              <w:t>e</w:t>
            </w:r>
            <w:r w:rsidRPr="00E00C0C">
              <w:rPr>
                <w:rFonts w:ascii="Garamond" w:hAnsi="Garamond"/>
              </w:rPr>
              <w:t xml:space="preserve"> Chambre correctionnelle </w:t>
            </w:r>
            <w:r w:rsidRPr="00E00C0C">
              <w:rPr>
                <w:rFonts w:ascii="Garamond" w:hAnsi="Garamond"/>
              </w:rPr>
              <w:br/>
              <w:t>du Tribunal de grande instance de Paris</w:t>
            </w:r>
          </w:p>
        </w:tc>
      </w:tr>
    </w:tbl>
    <w:p w:rsidR="00AA70AB" w:rsidRPr="00E00C0C" w:rsidRDefault="00AA70AB" w:rsidP="003F5F7F">
      <w:pPr>
        <w:spacing w:line="240" w:lineRule="auto"/>
        <w:rPr>
          <w:rFonts w:ascii="Garamond" w:hAnsi="Garamond"/>
        </w:rPr>
      </w:pPr>
    </w:p>
    <w:p w:rsidR="00AA70AB" w:rsidRPr="00E00C0C" w:rsidRDefault="00AA70AB" w:rsidP="003F5F7F">
      <w:pPr>
        <w:spacing w:line="240" w:lineRule="auto"/>
        <w:rPr>
          <w:rFonts w:ascii="Garamond" w:hAnsi="Garamond"/>
        </w:rPr>
      </w:pPr>
    </w:p>
    <w:p w:rsidR="00AA70AB" w:rsidRPr="00E00C0C" w:rsidRDefault="00AA70AB" w:rsidP="003F5F7F">
      <w:pPr>
        <w:spacing w:line="240" w:lineRule="auto"/>
        <w:rPr>
          <w:rFonts w:ascii="Garamond" w:hAnsi="Garamond"/>
        </w:rPr>
      </w:pPr>
    </w:p>
    <w:p w:rsidR="00AA70AB" w:rsidRPr="00E00C0C" w:rsidRDefault="00AA70AB" w:rsidP="003F5F7F">
      <w:pPr>
        <w:spacing w:line="240" w:lineRule="auto"/>
        <w:jc w:val="center"/>
        <w:rPr>
          <w:rFonts w:ascii="Garamond" w:hAnsi="Garamond"/>
          <w:b/>
          <w:smallCaps/>
          <w:sz w:val="32"/>
          <w:szCs w:val="32"/>
        </w:rPr>
      </w:pPr>
      <w:r w:rsidRPr="00E00C0C">
        <w:rPr>
          <w:rFonts w:ascii="Garamond" w:hAnsi="Garamond"/>
          <w:b/>
          <w:smallCaps/>
          <w:sz w:val="32"/>
          <w:szCs w:val="32"/>
        </w:rPr>
        <w:t>Conclusions in limine litis</w:t>
      </w:r>
    </w:p>
    <w:p w:rsidR="00AA70AB" w:rsidRPr="00E00C0C" w:rsidRDefault="00AA70AB" w:rsidP="003F5F7F">
      <w:pPr>
        <w:spacing w:line="240" w:lineRule="auto"/>
        <w:rPr>
          <w:rFonts w:ascii="Garamond" w:hAnsi="Garamond"/>
        </w:rPr>
      </w:pPr>
    </w:p>
    <w:p w:rsidR="00AA70AB" w:rsidRPr="00E00C0C" w:rsidRDefault="00AA70AB" w:rsidP="003F5F7F">
      <w:pPr>
        <w:pStyle w:val="Body"/>
        <w:tabs>
          <w:tab w:val="left" w:pos="1260"/>
        </w:tabs>
        <w:spacing w:line="240" w:lineRule="auto"/>
        <w:ind w:left="1134" w:hanging="1134"/>
        <w:rPr>
          <w:rFonts w:ascii="Garamond" w:hAnsi="Garamond"/>
          <w:sz w:val="22"/>
          <w:szCs w:val="22"/>
        </w:rPr>
      </w:pPr>
      <w:r w:rsidRPr="00E00C0C">
        <w:rPr>
          <w:rFonts w:ascii="Garamond" w:hAnsi="Garamond"/>
          <w:b/>
          <w:sz w:val="22"/>
          <w:szCs w:val="22"/>
          <w:u w:val="single"/>
        </w:rPr>
        <w:t>POUR</w:t>
      </w:r>
      <w:r w:rsidRPr="00E00C0C">
        <w:rPr>
          <w:rFonts w:ascii="Garamond" w:hAnsi="Garamond"/>
          <w:b/>
          <w:sz w:val="22"/>
          <w:szCs w:val="22"/>
        </w:rPr>
        <w:t> :</w:t>
      </w:r>
      <w:r w:rsidRPr="00E00C0C">
        <w:rPr>
          <w:rFonts w:ascii="Garamond" w:hAnsi="Garamond"/>
          <w:sz w:val="22"/>
          <w:szCs w:val="22"/>
        </w:rPr>
        <w:t xml:space="preserve"> </w:t>
      </w:r>
      <w:r w:rsidRPr="00E00C0C">
        <w:rPr>
          <w:rFonts w:ascii="Garamond" w:hAnsi="Garamond"/>
          <w:sz w:val="22"/>
          <w:szCs w:val="22"/>
        </w:rPr>
        <w:tab/>
      </w:r>
      <w:r w:rsidR="00801C8E" w:rsidRPr="00E00C0C">
        <w:rPr>
          <w:rFonts w:ascii="Garamond" w:hAnsi="Garamond"/>
          <w:b/>
          <w:sz w:val="22"/>
          <w:szCs w:val="22"/>
        </w:rPr>
        <w:t xml:space="preserve">                                  </w:t>
      </w:r>
      <w:r w:rsidRPr="00E00C0C">
        <w:rPr>
          <w:rFonts w:ascii="Garamond" w:hAnsi="Garamond"/>
          <w:sz w:val="22"/>
          <w:szCs w:val="22"/>
        </w:rPr>
        <w:t>, né</w:t>
      </w:r>
      <w:r w:rsidR="00801C8E" w:rsidRPr="00E00C0C">
        <w:rPr>
          <w:rFonts w:ascii="Garamond" w:hAnsi="Garamond"/>
          <w:sz w:val="22"/>
          <w:szCs w:val="22"/>
        </w:rPr>
        <w:t xml:space="preserve">  </w:t>
      </w:r>
      <w:r w:rsidRPr="00E00C0C">
        <w:rPr>
          <w:rFonts w:ascii="Garamond" w:hAnsi="Garamond"/>
          <w:sz w:val="22"/>
          <w:szCs w:val="22"/>
        </w:rPr>
        <w:t xml:space="preserve">le </w:t>
      </w:r>
      <w:r w:rsidR="00801C8E" w:rsidRPr="00E00C0C">
        <w:rPr>
          <w:rFonts w:ascii="Garamond" w:hAnsi="Garamond"/>
          <w:sz w:val="22"/>
          <w:szCs w:val="22"/>
        </w:rPr>
        <w:t xml:space="preserve">                          </w:t>
      </w:r>
      <w:r w:rsidRPr="00E00C0C">
        <w:rPr>
          <w:rFonts w:ascii="Garamond" w:hAnsi="Garamond"/>
          <w:sz w:val="22"/>
          <w:szCs w:val="22"/>
        </w:rPr>
        <w:t xml:space="preserve">à </w:t>
      </w:r>
      <w:r w:rsidR="00801C8E" w:rsidRPr="00E00C0C">
        <w:rPr>
          <w:rFonts w:ascii="Garamond" w:hAnsi="Garamond"/>
          <w:sz w:val="22"/>
          <w:szCs w:val="22"/>
        </w:rPr>
        <w:t xml:space="preserve">                              </w:t>
      </w:r>
    </w:p>
    <w:p w:rsidR="00AA70AB" w:rsidRPr="00E00C0C" w:rsidRDefault="00AA70AB" w:rsidP="003F5F7F">
      <w:pPr>
        <w:pStyle w:val="Body"/>
        <w:tabs>
          <w:tab w:val="left" w:pos="1134"/>
        </w:tabs>
        <w:spacing w:line="240" w:lineRule="auto"/>
        <w:ind w:left="1134" w:hanging="1260"/>
        <w:rPr>
          <w:rFonts w:ascii="Garamond" w:hAnsi="Garamond"/>
          <w:sz w:val="22"/>
          <w:szCs w:val="22"/>
        </w:rPr>
      </w:pPr>
      <w:r w:rsidRPr="00E00C0C">
        <w:rPr>
          <w:rFonts w:ascii="Garamond" w:hAnsi="Garamond"/>
          <w:sz w:val="22"/>
          <w:szCs w:val="22"/>
        </w:rPr>
        <w:tab/>
      </w:r>
    </w:p>
    <w:p w:rsidR="00AA70AB" w:rsidRPr="00E00C0C" w:rsidRDefault="00AA70AB" w:rsidP="003F5F7F">
      <w:pPr>
        <w:pStyle w:val="Body"/>
        <w:tabs>
          <w:tab w:val="left" w:pos="1134"/>
        </w:tabs>
        <w:spacing w:line="240" w:lineRule="auto"/>
        <w:ind w:left="1134" w:hanging="1260"/>
        <w:rPr>
          <w:rFonts w:ascii="Garamond" w:hAnsi="Garamond"/>
          <w:sz w:val="22"/>
          <w:szCs w:val="22"/>
        </w:rPr>
      </w:pPr>
    </w:p>
    <w:p w:rsidR="00AA70AB" w:rsidRPr="00E00C0C" w:rsidRDefault="00AA70AB" w:rsidP="003F5F7F">
      <w:pPr>
        <w:pStyle w:val="Body"/>
        <w:tabs>
          <w:tab w:val="left" w:pos="1134"/>
        </w:tabs>
        <w:spacing w:line="240" w:lineRule="auto"/>
        <w:ind w:left="1968" w:hanging="1260"/>
        <w:jc w:val="right"/>
        <w:rPr>
          <w:rFonts w:ascii="Garamond" w:hAnsi="Garamond"/>
          <w:sz w:val="22"/>
          <w:szCs w:val="22"/>
        </w:rPr>
      </w:pPr>
      <w:r w:rsidRPr="00E00C0C">
        <w:rPr>
          <w:rFonts w:ascii="Garamond" w:hAnsi="Garamond"/>
          <w:sz w:val="22"/>
          <w:szCs w:val="22"/>
        </w:rPr>
        <w:tab/>
      </w:r>
    </w:p>
    <w:p w:rsidR="00AA70AB" w:rsidRPr="00E00C0C" w:rsidRDefault="00AA70AB" w:rsidP="003F5F7F">
      <w:pPr>
        <w:pStyle w:val="Body"/>
        <w:tabs>
          <w:tab w:val="left" w:pos="1134"/>
        </w:tabs>
        <w:spacing w:line="240" w:lineRule="auto"/>
        <w:ind w:left="1968" w:hanging="1260"/>
        <w:jc w:val="right"/>
        <w:rPr>
          <w:rFonts w:ascii="Garamond" w:hAnsi="Garamond"/>
          <w:sz w:val="22"/>
          <w:szCs w:val="22"/>
        </w:rPr>
      </w:pPr>
    </w:p>
    <w:p w:rsidR="00AA70AB" w:rsidRPr="00E00C0C" w:rsidRDefault="00AA70AB" w:rsidP="003F5F7F">
      <w:pPr>
        <w:pStyle w:val="Body"/>
        <w:tabs>
          <w:tab w:val="left" w:pos="1134"/>
        </w:tabs>
        <w:spacing w:line="240" w:lineRule="auto"/>
        <w:ind w:left="1968" w:hanging="1260"/>
        <w:jc w:val="right"/>
        <w:rPr>
          <w:rFonts w:ascii="Garamond" w:hAnsi="Garamond"/>
          <w:sz w:val="22"/>
          <w:szCs w:val="22"/>
        </w:rPr>
      </w:pPr>
      <w:r w:rsidRPr="00E00C0C">
        <w:rPr>
          <w:rFonts w:ascii="Garamond" w:hAnsi="Garamond"/>
          <w:sz w:val="22"/>
          <w:szCs w:val="22"/>
        </w:rPr>
        <w:t>Ci-après, le « </w:t>
      </w:r>
      <w:r w:rsidRPr="00E00C0C">
        <w:rPr>
          <w:rFonts w:ascii="Garamond" w:hAnsi="Garamond"/>
          <w:b/>
          <w:sz w:val="22"/>
          <w:szCs w:val="22"/>
        </w:rPr>
        <w:t>Concluant</w:t>
      </w:r>
      <w:r w:rsidRPr="00E00C0C">
        <w:rPr>
          <w:rFonts w:ascii="Garamond" w:hAnsi="Garamond"/>
          <w:sz w:val="22"/>
          <w:szCs w:val="22"/>
        </w:rPr>
        <w:t> »,</w:t>
      </w:r>
    </w:p>
    <w:p w:rsidR="00AA70AB" w:rsidRPr="00E00C0C" w:rsidRDefault="00AA70AB" w:rsidP="003F5F7F">
      <w:pPr>
        <w:pStyle w:val="Body"/>
        <w:tabs>
          <w:tab w:val="left" w:pos="1134"/>
        </w:tabs>
        <w:spacing w:line="240" w:lineRule="auto"/>
        <w:ind w:left="1134" w:hanging="1260"/>
        <w:rPr>
          <w:rFonts w:ascii="Garamond" w:hAnsi="Garamond"/>
          <w:i/>
          <w:sz w:val="22"/>
          <w:szCs w:val="22"/>
        </w:rPr>
      </w:pPr>
      <w:r w:rsidRPr="00E00C0C">
        <w:rPr>
          <w:rFonts w:ascii="Garamond" w:hAnsi="Garamond"/>
          <w:sz w:val="22"/>
          <w:szCs w:val="22"/>
        </w:rPr>
        <w:tab/>
      </w:r>
    </w:p>
    <w:p w:rsidR="00AA70AB" w:rsidRPr="00E00C0C" w:rsidRDefault="00AA70AB" w:rsidP="003F5F7F">
      <w:pPr>
        <w:pStyle w:val="Body"/>
        <w:tabs>
          <w:tab w:val="left" w:pos="1260"/>
        </w:tabs>
        <w:spacing w:after="0" w:line="240" w:lineRule="auto"/>
        <w:ind w:left="3958"/>
        <w:rPr>
          <w:rFonts w:ascii="Garamond" w:hAnsi="Garamond"/>
          <w:b/>
          <w:sz w:val="22"/>
          <w:szCs w:val="22"/>
        </w:rPr>
      </w:pPr>
      <w:r w:rsidRPr="00E00C0C">
        <w:rPr>
          <w:rFonts w:ascii="Garamond" w:hAnsi="Garamond"/>
          <w:b/>
          <w:sz w:val="22"/>
          <w:szCs w:val="22"/>
          <w:u w:val="single"/>
        </w:rPr>
        <w:t>Ayant pour Avocat</w:t>
      </w:r>
      <w:r w:rsidRPr="00E00C0C">
        <w:rPr>
          <w:rFonts w:ascii="Garamond" w:hAnsi="Garamond"/>
          <w:b/>
          <w:sz w:val="22"/>
          <w:szCs w:val="22"/>
        </w:rPr>
        <w:t> :</w:t>
      </w:r>
    </w:p>
    <w:p w:rsidR="00AA70AB" w:rsidRPr="00E00C0C" w:rsidRDefault="00AA70AB" w:rsidP="003F5F7F">
      <w:pPr>
        <w:pStyle w:val="Body"/>
        <w:tabs>
          <w:tab w:val="left" w:pos="1260"/>
        </w:tabs>
        <w:spacing w:after="0" w:line="240" w:lineRule="auto"/>
        <w:ind w:left="3958"/>
        <w:rPr>
          <w:rFonts w:ascii="Garamond" w:hAnsi="Garamond"/>
          <w:b/>
          <w:sz w:val="22"/>
          <w:szCs w:val="22"/>
        </w:rPr>
      </w:pPr>
    </w:p>
    <w:p w:rsidR="00AA70AB" w:rsidRPr="00E00C0C" w:rsidRDefault="00AA70AB" w:rsidP="003F5F7F">
      <w:pPr>
        <w:pStyle w:val="Body"/>
        <w:tabs>
          <w:tab w:val="left" w:pos="1260"/>
        </w:tabs>
        <w:spacing w:after="0" w:line="240" w:lineRule="auto"/>
        <w:ind w:left="3958"/>
        <w:rPr>
          <w:rFonts w:ascii="Garamond" w:hAnsi="Garamond"/>
          <w:b/>
          <w:sz w:val="22"/>
          <w:szCs w:val="22"/>
        </w:rPr>
      </w:pPr>
    </w:p>
    <w:p w:rsidR="00AA70AB" w:rsidRPr="00E00C0C" w:rsidRDefault="00AA70AB" w:rsidP="003F5F7F">
      <w:pPr>
        <w:pStyle w:val="Body"/>
        <w:tabs>
          <w:tab w:val="left" w:pos="1260"/>
        </w:tabs>
        <w:spacing w:line="240" w:lineRule="auto"/>
        <w:ind w:left="1260" w:hanging="1260"/>
        <w:rPr>
          <w:rFonts w:ascii="Garamond" w:hAnsi="Garamond"/>
          <w:b/>
          <w:sz w:val="22"/>
          <w:szCs w:val="22"/>
          <w:u w:val="single"/>
        </w:rPr>
      </w:pPr>
    </w:p>
    <w:p w:rsidR="00AA70AB" w:rsidRPr="00E00C0C" w:rsidRDefault="00AA70AB" w:rsidP="003F5F7F">
      <w:pPr>
        <w:pStyle w:val="Body"/>
        <w:tabs>
          <w:tab w:val="left" w:pos="1260"/>
        </w:tabs>
        <w:spacing w:line="240" w:lineRule="auto"/>
        <w:ind w:left="1260" w:hanging="1260"/>
        <w:rPr>
          <w:rFonts w:ascii="Garamond" w:hAnsi="Garamond"/>
          <w:b/>
          <w:sz w:val="22"/>
          <w:szCs w:val="22"/>
          <w:u w:val="single"/>
        </w:rPr>
      </w:pPr>
    </w:p>
    <w:p w:rsidR="00AA70AB" w:rsidRPr="00E00C0C" w:rsidRDefault="00AA70AB" w:rsidP="003F5F7F">
      <w:pPr>
        <w:pStyle w:val="Body"/>
        <w:tabs>
          <w:tab w:val="left" w:pos="1260"/>
        </w:tabs>
        <w:spacing w:line="240" w:lineRule="auto"/>
        <w:ind w:left="1260" w:hanging="1260"/>
        <w:rPr>
          <w:rFonts w:ascii="Garamond" w:hAnsi="Garamond"/>
          <w:b/>
          <w:sz w:val="22"/>
          <w:szCs w:val="22"/>
          <w:u w:val="single"/>
        </w:rPr>
      </w:pPr>
    </w:p>
    <w:p w:rsidR="00AA70AB" w:rsidRPr="00E00C0C" w:rsidRDefault="00AA70AB" w:rsidP="003F5F7F">
      <w:pPr>
        <w:pStyle w:val="Body"/>
        <w:tabs>
          <w:tab w:val="left" w:pos="1260"/>
        </w:tabs>
        <w:spacing w:line="240" w:lineRule="auto"/>
        <w:ind w:left="1260" w:hanging="1260"/>
        <w:rPr>
          <w:rFonts w:ascii="Garamond" w:hAnsi="Garamond"/>
          <w:b/>
          <w:sz w:val="22"/>
          <w:szCs w:val="22"/>
          <w:u w:val="single"/>
        </w:rPr>
      </w:pPr>
    </w:p>
    <w:p w:rsidR="00AA70AB" w:rsidRPr="00E00C0C" w:rsidRDefault="00AA70AB" w:rsidP="003F5F7F">
      <w:pPr>
        <w:pStyle w:val="Body"/>
        <w:tabs>
          <w:tab w:val="left" w:pos="1260"/>
        </w:tabs>
        <w:spacing w:line="240" w:lineRule="auto"/>
        <w:ind w:left="1260" w:hanging="1260"/>
        <w:rPr>
          <w:rFonts w:ascii="Garamond" w:hAnsi="Garamond"/>
          <w:b/>
          <w:sz w:val="22"/>
          <w:szCs w:val="22"/>
          <w:u w:val="single"/>
        </w:rPr>
      </w:pPr>
    </w:p>
    <w:p w:rsidR="00AA70AB" w:rsidRPr="00E00C0C" w:rsidRDefault="00AA70AB" w:rsidP="003F5F7F">
      <w:pPr>
        <w:pStyle w:val="Body"/>
        <w:tabs>
          <w:tab w:val="left" w:pos="1260"/>
        </w:tabs>
        <w:spacing w:line="240" w:lineRule="auto"/>
        <w:ind w:left="1260" w:hanging="1260"/>
        <w:rPr>
          <w:rFonts w:ascii="Garamond" w:hAnsi="Garamond"/>
          <w:b/>
          <w:sz w:val="22"/>
          <w:szCs w:val="22"/>
          <w:u w:val="single"/>
        </w:rPr>
      </w:pPr>
    </w:p>
    <w:p w:rsidR="00AA70AB" w:rsidRPr="00E00C0C" w:rsidRDefault="00AA70AB" w:rsidP="003F5F7F">
      <w:pPr>
        <w:pStyle w:val="Body"/>
        <w:tabs>
          <w:tab w:val="left" w:pos="1260"/>
        </w:tabs>
        <w:spacing w:line="240" w:lineRule="auto"/>
        <w:ind w:left="1260" w:hanging="1260"/>
        <w:rPr>
          <w:rFonts w:ascii="Garamond" w:hAnsi="Garamond"/>
          <w:b/>
          <w:sz w:val="22"/>
          <w:szCs w:val="22"/>
          <w:u w:val="single"/>
        </w:rPr>
      </w:pPr>
    </w:p>
    <w:p w:rsidR="00AA70AB" w:rsidRPr="00E00C0C" w:rsidRDefault="00AA70AB" w:rsidP="003F5F7F">
      <w:pPr>
        <w:pStyle w:val="Body"/>
        <w:tabs>
          <w:tab w:val="left" w:pos="1260"/>
        </w:tabs>
        <w:spacing w:line="240" w:lineRule="auto"/>
        <w:ind w:left="1260" w:hanging="1260"/>
        <w:rPr>
          <w:rFonts w:ascii="Garamond" w:hAnsi="Garamond"/>
          <w:b/>
          <w:sz w:val="22"/>
          <w:szCs w:val="22"/>
          <w:u w:val="single"/>
        </w:rPr>
      </w:pPr>
    </w:p>
    <w:p w:rsidR="00AA70AB" w:rsidRPr="00E00C0C" w:rsidRDefault="00AA70AB" w:rsidP="003F5F7F">
      <w:pPr>
        <w:pStyle w:val="Body"/>
        <w:tabs>
          <w:tab w:val="left" w:pos="1260"/>
        </w:tabs>
        <w:spacing w:line="240" w:lineRule="auto"/>
        <w:ind w:left="1260" w:hanging="1260"/>
        <w:rPr>
          <w:rFonts w:ascii="Garamond" w:hAnsi="Garamond"/>
          <w:b/>
          <w:sz w:val="22"/>
          <w:szCs w:val="22"/>
          <w:u w:val="single"/>
        </w:rPr>
      </w:pPr>
    </w:p>
    <w:p w:rsidR="00AA70AB" w:rsidRPr="00E00C0C" w:rsidRDefault="00AA70AB" w:rsidP="003F5F7F">
      <w:pPr>
        <w:pStyle w:val="Body"/>
        <w:tabs>
          <w:tab w:val="left" w:pos="1260"/>
        </w:tabs>
        <w:spacing w:line="240" w:lineRule="auto"/>
        <w:ind w:left="1260" w:hanging="1260"/>
        <w:rPr>
          <w:rFonts w:ascii="Garamond" w:hAnsi="Garamond"/>
        </w:rPr>
      </w:pPr>
      <w:r w:rsidRPr="00E00C0C">
        <w:rPr>
          <w:rFonts w:ascii="Garamond" w:hAnsi="Garamond"/>
          <w:b/>
          <w:sz w:val="22"/>
          <w:szCs w:val="22"/>
          <w:u w:val="single"/>
        </w:rPr>
        <w:t>CONTRE</w:t>
      </w:r>
      <w:r w:rsidRPr="00E00C0C">
        <w:rPr>
          <w:rFonts w:ascii="Garamond" w:hAnsi="Garamond"/>
          <w:b/>
          <w:sz w:val="22"/>
          <w:szCs w:val="22"/>
        </w:rPr>
        <w:t> :</w:t>
      </w:r>
      <w:r w:rsidRPr="00E00C0C">
        <w:rPr>
          <w:rFonts w:ascii="Garamond" w:hAnsi="Garamond"/>
          <w:sz w:val="22"/>
          <w:szCs w:val="22"/>
        </w:rPr>
        <w:t xml:space="preserve"> </w:t>
      </w:r>
      <w:r w:rsidRPr="00E00C0C">
        <w:rPr>
          <w:rFonts w:ascii="Garamond" w:hAnsi="Garamond"/>
          <w:sz w:val="22"/>
          <w:szCs w:val="22"/>
        </w:rPr>
        <w:tab/>
      </w:r>
      <w:r w:rsidRPr="00E00C0C">
        <w:rPr>
          <w:rFonts w:ascii="Garamond" w:hAnsi="Garamond"/>
          <w:b/>
          <w:bCs/>
          <w:sz w:val="22"/>
          <w:szCs w:val="22"/>
        </w:rPr>
        <w:t>le Ministère public</w:t>
      </w:r>
      <w:r w:rsidRPr="00E00C0C">
        <w:rPr>
          <w:rFonts w:ascii="Garamond" w:hAnsi="Garamond"/>
          <w:b/>
          <w:sz w:val="22"/>
          <w:szCs w:val="22"/>
        </w:rPr>
        <w:t xml:space="preserve"> </w:t>
      </w:r>
      <w:r w:rsidRPr="00E00C0C">
        <w:rPr>
          <w:rFonts w:ascii="Garamond" w:hAnsi="Garamond"/>
        </w:rPr>
        <w:br w:type="page"/>
      </w:r>
    </w:p>
    <w:p w:rsidR="00AA70AB" w:rsidRPr="00E00C0C" w:rsidRDefault="00AA70AB" w:rsidP="003F5F7F">
      <w:pPr>
        <w:spacing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E00C0C">
        <w:rPr>
          <w:rFonts w:ascii="Garamond" w:hAnsi="Garamond"/>
          <w:b/>
          <w:smallCaps/>
          <w:sz w:val="28"/>
          <w:szCs w:val="28"/>
        </w:rPr>
        <w:lastRenderedPageBreak/>
        <w:t xml:space="preserve">Plaise </w:t>
      </w:r>
      <w:r w:rsidR="004A0DBC">
        <w:rPr>
          <w:rFonts w:ascii="Garamond" w:hAnsi="Garamond"/>
          <w:b/>
          <w:smallCaps/>
          <w:sz w:val="28"/>
          <w:szCs w:val="28"/>
        </w:rPr>
        <w:t>a</w:t>
      </w:r>
      <w:r w:rsidRPr="00E00C0C">
        <w:rPr>
          <w:rFonts w:ascii="Garamond" w:hAnsi="Garamond"/>
          <w:b/>
          <w:smallCaps/>
          <w:sz w:val="28"/>
          <w:szCs w:val="28"/>
        </w:rPr>
        <w:t xml:space="preserve">u Tribunal </w:t>
      </w:r>
    </w:p>
    <w:p w:rsidR="00AA70AB" w:rsidRPr="00E00C0C" w:rsidRDefault="00AA70AB" w:rsidP="003F5F7F">
      <w:pPr>
        <w:spacing w:line="240" w:lineRule="auto"/>
        <w:rPr>
          <w:rFonts w:ascii="Garamond" w:hAnsi="Garamond"/>
        </w:rPr>
      </w:pPr>
    </w:p>
    <w:p w:rsidR="00AA70AB" w:rsidRPr="004A0DBC" w:rsidRDefault="00D63856" w:rsidP="007441CC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  <w:r w:rsidRPr="004A0DBC">
        <w:rPr>
          <w:sz w:val="23"/>
          <w:szCs w:val="23"/>
        </w:rPr>
        <w:t>Le Concluant</w:t>
      </w:r>
      <w:r w:rsidR="00AA70AB" w:rsidRPr="004A0DBC">
        <w:rPr>
          <w:sz w:val="23"/>
          <w:szCs w:val="23"/>
        </w:rPr>
        <w:t xml:space="preserve">, </w:t>
      </w:r>
      <w:r w:rsidR="00B050C9" w:rsidRPr="004A0DBC">
        <w:rPr>
          <w:sz w:val="23"/>
          <w:szCs w:val="23"/>
        </w:rPr>
        <w:t xml:space="preserve">de nationalité                          et ne comprenant pas la langue française, a été </w:t>
      </w:r>
      <w:r w:rsidR="00AA70AB" w:rsidRPr="004A0DBC">
        <w:rPr>
          <w:sz w:val="23"/>
          <w:szCs w:val="23"/>
        </w:rPr>
        <w:t xml:space="preserve">renvoyé devant la juridiction de céans </w:t>
      </w:r>
      <w:r w:rsidR="00B050C9" w:rsidRPr="004A0DBC">
        <w:rPr>
          <w:sz w:val="23"/>
          <w:szCs w:val="23"/>
        </w:rPr>
        <w:t>après avoir fait l’objet d’une mesure de garde à vue</w:t>
      </w:r>
      <w:r w:rsidR="00AA70AB" w:rsidRPr="004A0DBC">
        <w:rPr>
          <w:sz w:val="23"/>
          <w:szCs w:val="23"/>
        </w:rPr>
        <w:t>.</w:t>
      </w:r>
    </w:p>
    <w:p w:rsidR="00AA70AB" w:rsidRPr="004A0DBC" w:rsidRDefault="001126B0" w:rsidP="007441CC">
      <w:pPr>
        <w:pStyle w:val="Paragraphenormal"/>
        <w:spacing w:line="276" w:lineRule="auto"/>
        <w:rPr>
          <w:sz w:val="23"/>
          <w:szCs w:val="23"/>
        </w:rPr>
      </w:pPr>
      <w:r w:rsidRPr="004A0DBC">
        <w:rPr>
          <w:sz w:val="23"/>
          <w:szCs w:val="23"/>
        </w:rPr>
        <w:t>Il reste que l</w:t>
      </w:r>
      <w:r w:rsidR="000C7E06" w:rsidRPr="004A0DBC">
        <w:rPr>
          <w:sz w:val="23"/>
          <w:szCs w:val="23"/>
        </w:rPr>
        <w:t xml:space="preserve">a notification de ses droits </w:t>
      </w:r>
      <w:r w:rsidR="00B050C9" w:rsidRPr="004A0DBC">
        <w:rPr>
          <w:sz w:val="23"/>
          <w:szCs w:val="23"/>
        </w:rPr>
        <w:t xml:space="preserve">ne lui a pas été faite dans une langue lui permettant d’en prendre une connaissance effective, </w:t>
      </w:r>
      <w:r w:rsidRPr="004A0DBC">
        <w:rPr>
          <w:sz w:val="23"/>
          <w:szCs w:val="23"/>
        </w:rPr>
        <w:t xml:space="preserve">en sorte </w:t>
      </w:r>
      <w:r w:rsidR="00653FB6" w:rsidRPr="004A0DBC">
        <w:rPr>
          <w:sz w:val="23"/>
          <w:szCs w:val="23"/>
        </w:rPr>
        <w:t>que le Tribunal prononcera sa nullité ainsi que celle de l’intégralité de la garde à vue.</w:t>
      </w:r>
    </w:p>
    <w:p w:rsidR="000C7E06" w:rsidRPr="004A0DBC" w:rsidRDefault="000C7E06" w:rsidP="007441CC">
      <w:pPr>
        <w:pStyle w:val="Paragraphenormal"/>
        <w:spacing w:line="276" w:lineRule="auto"/>
        <w:rPr>
          <w:sz w:val="23"/>
          <w:szCs w:val="23"/>
        </w:rPr>
      </w:pPr>
    </w:p>
    <w:p w:rsidR="000C7E06" w:rsidRPr="004A0DBC" w:rsidRDefault="000C7E06" w:rsidP="007441CC">
      <w:pPr>
        <w:pStyle w:val="Paragraphenormal"/>
        <w:spacing w:line="276" w:lineRule="auto"/>
        <w:rPr>
          <w:sz w:val="23"/>
          <w:szCs w:val="23"/>
        </w:rPr>
      </w:pPr>
    </w:p>
    <w:p w:rsidR="000C7E06" w:rsidRPr="004A0DBC" w:rsidRDefault="000C7E06" w:rsidP="007441CC">
      <w:pPr>
        <w:pStyle w:val="Paragraphenormal"/>
        <w:numPr>
          <w:ilvl w:val="0"/>
          <w:numId w:val="7"/>
        </w:numPr>
        <w:spacing w:line="276" w:lineRule="auto"/>
        <w:rPr>
          <w:b/>
          <w:sz w:val="23"/>
          <w:szCs w:val="23"/>
          <w:u w:val="single"/>
        </w:rPr>
      </w:pPr>
      <w:r w:rsidRPr="004A0DBC">
        <w:rPr>
          <w:b/>
          <w:sz w:val="23"/>
          <w:szCs w:val="23"/>
          <w:u w:val="single"/>
        </w:rPr>
        <w:t>Rappel des faits et de la procédure</w:t>
      </w:r>
    </w:p>
    <w:p w:rsidR="000C7E06" w:rsidRPr="004A0DBC" w:rsidRDefault="000C7E06" w:rsidP="007441CC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0C7E06" w:rsidRPr="004A0DBC" w:rsidRDefault="000C7E06" w:rsidP="007441CC">
      <w:pPr>
        <w:pStyle w:val="Paragraphedeliste1"/>
        <w:spacing w:line="276" w:lineRule="auto"/>
        <w:rPr>
          <w:sz w:val="23"/>
          <w:szCs w:val="23"/>
        </w:rPr>
      </w:pPr>
      <w:r w:rsidRPr="004A0DBC">
        <w:rPr>
          <w:sz w:val="23"/>
          <w:szCs w:val="23"/>
        </w:rPr>
        <w:t xml:space="preserve"> </w:t>
      </w:r>
    </w:p>
    <w:p w:rsidR="000C7E06" w:rsidRPr="004A0DBC" w:rsidRDefault="000C7E06" w:rsidP="007441CC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F645EA" w:rsidRPr="004A0DBC" w:rsidRDefault="00F645EA" w:rsidP="007441CC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4A0DBC" w:rsidRDefault="00A774D8" w:rsidP="007441CC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4A0DBC" w:rsidRDefault="00A774D8" w:rsidP="007441CC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4A0DBC" w:rsidRDefault="00A774D8" w:rsidP="007441CC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4A0DBC" w:rsidRDefault="00A774D8" w:rsidP="007441CC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4A0DBC" w:rsidRDefault="00A774D8" w:rsidP="007441CC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4A0DBC" w:rsidRDefault="00A774D8" w:rsidP="007441CC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4A0DBC" w:rsidRDefault="00A774D8" w:rsidP="007441CC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4A0DBC" w:rsidRDefault="00A774D8" w:rsidP="007441CC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4A0DBC" w:rsidRDefault="00A774D8" w:rsidP="007441CC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4A0DBC" w:rsidRDefault="00A774D8" w:rsidP="007441CC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4A0DBC" w:rsidRDefault="00A774D8" w:rsidP="007441CC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4A0DBC" w:rsidRDefault="00A774D8" w:rsidP="007441CC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4A0DBC" w:rsidRDefault="00A774D8" w:rsidP="007441CC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4A0DBC" w:rsidRDefault="00A774D8" w:rsidP="007441CC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4A0DBC" w:rsidRDefault="00A774D8" w:rsidP="007441CC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4A0DBC" w:rsidRDefault="00A774D8" w:rsidP="007441CC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4A0DBC" w:rsidRDefault="00A774D8" w:rsidP="007441CC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4A0DBC" w:rsidRDefault="00A774D8" w:rsidP="007441CC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4A0DBC" w:rsidRDefault="00A774D8" w:rsidP="007441CC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4A0DBC" w:rsidRDefault="00A774D8" w:rsidP="007441CC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4A0DBC" w:rsidRDefault="00A774D8" w:rsidP="007441CC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4A0DBC" w:rsidRDefault="00A774D8" w:rsidP="007441CC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65C42" w:rsidRPr="004A0DBC" w:rsidRDefault="00A65C42" w:rsidP="007441CC">
      <w:pPr>
        <w:spacing w:line="276" w:lineRule="auto"/>
        <w:rPr>
          <w:rFonts w:ascii="Garamond" w:hAnsi="Garamond"/>
          <w:b/>
          <w:sz w:val="23"/>
          <w:szCs w:val="23"/>
          <w:u w:val="single"/>
        </w:rPr>
      </w:pPr>
      <w:r w:rsidRPr="004A0DBC">
        <w:rPr>
          <w:b/>
          <w:sz w:val="23"/>
          <w:szCs w:val="23"/>
          <w:u w:val="single"/>
        </w:rPr>
        <w:br w:type="page"/>
      </w:r>
    </w:p>
    <w:p w:rsidR="00F645EA" w:rsidRPr="004A0DBC" w:rsidRDefault="00F645EA" w:rsidP="007441CC">
      <w:pPr>
        <w:pStyle w:val="Paragraphenormal"/>
        <w:numPr>
          <w:ilvl w:val="0"/>
          <w:numId w:val="7"/>
        </w:numPr>
        <w:spacing w:line="276" w:lineRule="auto"/>
        <w:rPr>
          <w:b/>
          <w:sz w:val="23"/>
          <w:szCs w:val="23"/>
          <w:u w:val="single"/>
        </w:rPr>
      </w:pPr>
      <w:r w:rsidRPr="004A0DBC">
        <w:rPr>
          <w:b/>
          <w:sz w:val="23"/>
          <w:szCs w:val="23"/>
          <w:u w:val="single"/>
        </w:rPr>
        <w:lastRenderedPageBreak/>
        <w:t>Discussion</w:t>
      </w:r>
    </w:p>
    <w:p w:rsidR="007E10BB" w:rsidRPr="004A0DBC" w:rsidRDefault="007E10BB" w:rsidP="007441CC">
      <w:pPr>
        <w:pStyle w:val="Paragraphenormal"/>
        <w:spacing w:line="276" w:lineRule="auto"/>
        <w:ind w:left="1440"/>
        <w:rPr>
          <w:b/>
          <w:sz w:val="23"/>
          <w:szCs w:val="23"/>
          <w:u w:val="single"/>
        </w:rPr>
      </w:pPr>
    </w:p>
    <w:p w:rsidR="007E10BB" w:rsidRPr="004A0DBC" w:rsidRDefault="007E10BB" w:rsidP="007441CC">
      <w:pPr>
        <w:pStyle w:val="Paragraphenormal"/>
        <w:numPr>
          <w:ilvl w:val="1"/>
          <w:numId w:val="7"/>
        </w:numPr>
        <w:spacing w:line="276" w:lineRule="auto"/>
        <w:rPr>
          <w:b/>
          <w:sz w:val="23"/>
          <w:szCs w:val="23"/>
          <w:u w:val="single"/>
        </w:rPr>
      </w:pPr>
      <w:r w:rsidRPr="004A0DBC">
        <w:rPr>
          <w:b/>
          <w:sz w:val="23"/>
          <w:szCs w:val="23"/>
          <w:u w:val="single"/>
        </w:rPr>
        <w:t>Sur le droit applicable</w:t>
      </w:r>
    </w:p>
    <w:p w:rsidR="00F645EA" w:rsidRPr="004A0DBC" w:rsidRDefault="00F645EA" w:rsidP="007441CC">
      <w:pPr>
        <w:pStyle w:val="Paragraphenormal"/>
        <w:spacing w:line="276" w:lineRule="auto"/>
        <w:ind w:left="1440"/>
        <w:rPr>
          <w:b/>
          <w:sz w:val="23"/>
          <w:szCs w:val="23"/>
          <w:u w:val="single"/>
        </w:rPr>
      </w:pPr>
    </w:p>
    <w:p w:rsidR="000C2B85" w:rsidRPr="004A0DBC" w:rsidRDefault="00F645EA" w:rsidP="007441CC">
      <w:pPr>
        <w:pStyle w:val="Paragraphedeliste1"/>
        <w:spacing w:line="276" w:lineRule="auto"/>
        <w:rPr>
          <w:sz w:val="23"/>
          <w:szCs w:val="23"/>
        </w:rPr>
      </w:pPr>
      <w:r w:rsidRPr="004A0DBC">
        <w:rPr>
          <w:sz w:val="23"/>
          <w:szCs w:val="23"/>
        </w:rPr>
        <w:t>L’article 63-1 du code de procédure pénale</w:t>
      </w:r>
      <w:r w:rsidR="00205AB9" w:rsidRPr="004A0DBC">
        <w:rPr>
          <w:sz w:val="23"/>
          <w:szCs w:val="23"/>
        </w:rPr>
        <w:t xml:space="preserve"> (« </w:t>
      </w:r>
      <w:r w:rsidR="00205AB9" w:rsidRPr="004A0DBC">
        <w:rPr>
          <w:b/>
          <w:sz w:val="23"/>
          <w:szCs w:val="23"/>
        </w:rPr>
        <w:t>CPP</w:t>
      </w:r>
      <w:r w:rsidR="00205AB9" w:rsidRPr="004A0DBC">
        <w:rPr>
          <w:sz w:val="23"/>
          <w:szCs w:val="23"/>
        </w:rPr>
        <w:t> »)</w:t>
      </w:r>
      <w:r w:rsidRPr="004A0DBC">
        <w:rPr>
          <w:sz w:val="23"/>
          <w:szCs w:val="23"/>
        </w:rPr>
        <w:t xml:space="preserve"> </w:t>
      </w:r>
      <w:r w:rsidR="00205AB9" w:rsidRPr="004A0DBC">
        <w:rPr>
          <w:sz w:val="23"/>
          <w:szCs w:val="23"/>
        </w:rPr>
        <w:t>prévoit que</w:t>
      </w:r>
      <w:r w:rsidR="000C2B85" w:rsidRPr="004A0DBC">
        <w:rPr>
          <w:sz w:val="23"/>
          <w:szCs w:val="23"/>
        </w:rPr>
        <w:t> :</w:t>
      </w:r>
    </w:p>
    <w:p w:rsidR="000C2B85" w:rsidRPr="004A0DBC" w:rsidRDefault="000C2B85" w:rsidP="007441CC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0C2B85" w:rsidRPr="004A0DBC" w:rsidRDefault="00205AB9" w:rsidP="007441CC">
      <w:pPr>
        <w:pStyle w:val="Paragraphedeliste1"/>
        <w:numPr>
          <w:ilvl w:val="0"/>
          <w:numId w:val="0"/>
        </w:numPr>
        <w:spacing w:line="276" w:lineRule="auto"/>
        <w:ind w:left="1416"/>
        <w:rPr>
          <w:sz w:val="23"/>
          <w:szCs w:val="23"/>
        </w:rPr>
      </w:pPr>
      <w:r w:rsidRPr="004A0DBC">
        <w:rPr>
          <w:sz w:val="23"/>
          <w:szCs w:val="23"/>
        </w:rPr>
        <w:t>« </w:t>
      </w:r>
      <w:r w:rsidRPr="004A0DBC">
        <w:rPr>
          <w:i/>
          <w:sz w:val="23"/>
          <w:szCs w:val="23"/>
        </w:rPr>
        <w:t xml:space="preserve">la personne placée en garde à vue est </w:t>
      </w:r>
      <w:r w:rsidRPr="004A0DBC">
        <w:rPr>
          <w:b/>
          <w:i/>
          <w:sz w:val="23"/>
          <w:szCs w:val="23"/>
        </w:rPr>
        <w:t>immédiatement informée</w:t>
      </w:r>
      <w:r w:rsidRPr="004A0DBC">
        <w:rPr>
          <w:b/>
          <w:sz w:val="23"/>
          <w:szCs w:val="23"/>
        </w:rPr>
        <w:t xml:space="preserve"> </w:t>
      </w:r>
      <w:r w:rsidRPr="004A0DBC">
        <w:rPr>
          <w:sz w:val="23"/>
          <w:szCs w:val="23"/>
        </w:rPr>
        <w:t xml:space="preserve">[de ses droits] </w:t>
      </w:r>
      <w:r w:rsidRPr="004A0DBC">
        <w:rPr>
          <w:i/>
          <w:sz w:val="23"/>
          <w:szCs w:val="23"/>
        </w:rPr>
        <w:t xml:space="preserve">par un officier de police judiciaire ou, sous le contrôle de celui-ci, par un agent de police judiciaire, </w:t>
      </w:r>
      <w:r w:rsidRPr="004A0DBC">
        <w:rPr>
          <w:b/>
          <w:i/>
          <w:sz w:val="23"/>
          <w:szCs w:val="23"/>
          <w:u w:val="single"/>
        </w:rPr>
        <w:t>dans une langue qu’elle comprend</w:t>
      </w:r>
      <w:r w:rsidRPr="004A0DBC">
        <w:rPr>
          <w:i/>
          <w:sz w:val="23"/>
          <w:szCs w:val="23"/>
        </w:rPr>
        <w:t xml:space="preserve">, le cas échéant au moyen du formulaire prévu au treizième alinéa (…). </w:t>
      </w:r>
    </w:p>
    <w:p w:rsidR="000C2B85" w:rsidRPr="004A0DBC" w:rsidRDefault="000C2B85" w:rsidP="007441CC">
      <w:pPr>
        <w:spacing w:line="276" w:lineRule="auto"/>
        <w:ind w:left="1416"/>
        <w:jc w:val="both"/>
        <w:rPr>
          <w:rFonts w:ascii="Garamond" w:hAnsi="Garamond"/>
          <w:i/>
          <w:sz w:val="23"/>
          <w:szCs w:val="23"/>
        </w:rPr>
      </w:pPr>
      <w:r w:rsidRPr="004A0DBC">
        <w:rPr>
          <w:rFonts w:ascii="Garamond" w:hAnsi="Garamond"/>
          <w:b/>
          <w:i/>
          <w:sz w:val="23"/>
          <w:szCs w:val="23"/>
        </w:rPr>
        <w:t>Si la personne ne comprend pas le français, ses droits doivent lui être notifiés par un interprète, le cas échéant après qu'un formulaire lui a été remis pour son information immédiate</w:t>
      </w:r>
      <w:r w:rsidRPr="004A0DBC">
        <w:rPr>
          <w:rFonts w:ascii="Garamond" w:hAnsi="Garamond"/>
          <w:i/>
          <w:sz w:val="23"/>
          <w:szCs w:val="23"/>
        </w:rPr>
        <w:t>.</w:t>
      </w:r>
    </w:p>
    <w:p w:rsidR="00F645EA" w:rsidRPr="004A0DBC" w:rsidRDefault="00205AB9" w:rsidP="007441CC">
      <w:pPr>
        <w:pStyle w:val="Paragraphedeliste1"/>
        <w:numPr>
          <w:ilvl w:val="0"/>
          <w:numId w:val="0"/>
        </w:numPr>
        <w:spacing w:line="276" w:lineRule="auto"/>
        <w:ind w:left="1416"/>
        <w:rPr>
          <w:sz w:val="23"/>
          <w:szCs w:val="23"/>
        </w:rPr>
      </w:pPr>
      <w:r w:rsidRPr="004A0DBC">
        <w:rPr>
          <w:i/>
          <w:sz w:val="23"/>
          <w:szCs w:val="23"/>
        </w:rPr>
        <w:t>Mention de l’information donnée en application du présent article est portée au procès-verbal de déroulement de la garde à vue et émargée par la personne gardée à vue. En cas de refus d’émargement, il en est fait mention</w:t>
      </w:r>
      <w:r w:rsidRPr="004A0DBC">
        <w:rPr>
          <w:sz w:val="23"/>
          <w:szCs w:val="23"/>
        </w:rPr>
        <w:t> ».</w:t>
      </w:r>
    </w:p>
    <w:p w:rsidR="00495E37" w:rsidRPr="004A0DBC" w:rsidRDefault="00495E37" w:rsidP="007441CC">
      <w:pPr>
        <w:pStyle w:val="ParagrapheList"/>
        <w:numPr>
          <w:ilvl w:val="0"/>
          <w:numId w:val="0"/>
        </w:numPr>
        <w:spacing w:line="276" w:lineRule="auto"/>
        <w:ind w:left="720"/>
        <w:rPr>
          <w:sz w:val="23"/>
          <w:szCs w:val="23"/>
          <w:lang w:eastAsia="fr-FR"/>
        </w:rPr>
      </w:pPr>
      <w:r w:rsidRPr="004A0DBC">
        <w:rPr>
          <w:sz w:val="23"/>
          <w:szCs w:val="23"/>
          <w:lang w:eastAsia="fr-FR"/>
        </w:rPr>
        <w:t xml:space="preserve">Lorsque la personne placée en garde à vue ne comprend pas la langue française, elle doit ainsi pouvoir bénéficier </w:t>
      </w:r>
      <w:r w:rsidRPr="004A0DBC">
        <w:rPr>
          <w:b/>
          <w:sz w:val="23"/>
          <w:szCs w:val="23"/>
          <w:lang w:eastAsia="fr-FR"/>
        </w:rPr>
        <w:t>sans délai</w:t>
      </w:r>
      <w:r w:rsidRPr="004A0DBC">
        <w:rPr>
          <w:sz w:val="23"/>
          <w:szCs w:val="23"/>
          <w:lang w:eastAsia="fr-FR"/>
        </w:rPr>
        <w:t xml:space="preserve"> de l’assistance d’un interprète (article D594-1 du CPP). Dans cette hypothèse, </w:t>
      </w:r>
      <w:r w:rsidRPr="004A0DBC">
        <w:rPr>
          <w:b/>
          <w:sz w:val="23"/>
          <w:szCs w:val="23"/>
          <w:lang w:eastAsia="fr-FR"/>
        </w:rPr>
        <w:t>la notification des droits peut également intervenir par tout moyen de télécommunication</w:t>
      </w:r>
      <w:r w:rsidRPr="004A0DBC">
        <w:rPr>
          <w:sz w:val="23"/>
          <w:szCs w:val="23"/>
          <w:lang w:eastAsia="fr-FR"/>
        </w:rPr>
        <w:t xml:space="preserve"> (article D594-4 du CPP). </w:t>
      </w:r>
    </w:p>
    <w:p w:rsidR="00495E37" w:rsidRPr="004A0DBC" w:rsidRDefault="00495E37" w:rsidP="007441CC">
      <w:pPr>
        <w:pStyle w:val="ParagrapheList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F155E6" w:rsidRPr="004A0DBC" w:rsidRDefault="00F155E6" w:rsidP="007441CC">
      <w:pPr>
        <w:pStyle w:val="ParagrapheList"/>
        <w:spacing w:line="276" w:lineRule="auto"/>
        <w:rPr>
          <w:sz w:val="23"/>
          <w:szCs w:val="23"/>
        </w:rPr>
      </w:pPr>
      <w:r w:rsidRPr="004A0DBC">
        <w:rPr>
          <w:sz w:val="23"/>
          <w:szCs w:val="23"/>
        </w:rPr>
        <w:t xml:space="preserve">Il faut rappeler ici que </w:t>
      </w:r>
      <w:r w:rsidR="00B140DB" w:rsidRPr="004A0DBC">
        <w:rPr>
          <w:sz w:val="23"/>
          <w:szCs w:val="23"/>
        </w:rPr>
        <w:t xml:space="preserve">ces exigences tirées de </w:t>
      </w:r>
      <w:r w:rsidR="00495E37" w:rsidRPr="004A0DBC">
        <w:rPr>
          <w:sz w:val="23"/>
          <w:szCs w:val="23"/>
        </w:rPr>
        <w:t>l’article 63-1 précité</w:t>
      </w:r>
      <w:r w:rsidRPr="004A0DBC">
        <w:rPr>
          <w:sz w:val="23"/>
          <w:szCs w:val="23"/>
        </w:rPr>
        <w:t xml:space="preserve"> </w:t>
      </w:r>
      <w:r w:rsidR="00B140DB" w:rsidRPr="004A0DBC">
        <w:rPr>
          <w:sz w:val="23"/>
          <w:szCs w:val="23"/>
        </w:rPr>
        <w:t>ne sont</w:t>
      </w:r>
      <w:r w:rsidRPr="004A0DBC">
        <w:rPr>
          <w:sz w:val="23"/>
          <w:szCs w:val="23"/>
        </w:rPr>
        <w:t xml:space="preserve"> que le reflet de l’article 5-2 de la CE</w:t>
      </w:r>
      <w:r w:rsidR="00B140DB" w:rsidRPr="004A0DBC">
        <w:rPr>
          <w:sz w:val="23"/>
          <w:szCs w:val="23"/>
        </w:rPr>
        <w:t>S</w:t>
      </w:r>
      <w:r w:rsidRPr="004A0DBC">
        <w:rPr>
          <w:sz w:val="23"/>
          <w:szCs w:val="23"/>
        </w:rPr>
        <w:t>DH, qui stipule que « </w:t>
      </w:r>
      <w:r w:rsidRPr="004A0DBC">
        <w:rPr>
          <w:i/>
          <w:sz w:val="23"/>
          <w:szCs w:val="23"/>
        </w:rPr>
        <w:t xml:space="preserve">toute personne arrêtée doit être informée, </w:t>
      </w:r>
      <w:r w:rsidRPr="004A0DBC">
        <w:rPr>
          <w:b/>
          <w:i/>
          <w:sz w:val="23"/>
          <w:szCs w:val="23"/>
        </w:rPr>
        <w:t>dans le plus court délai et dans une langue qu'elle comprend</w:t>
      </w:r>
      <w:r w:rsidRPr="004A0DBC">
        <w:rPr>
          <w:i/>
          <w:sz w:val="23"/>
          <w:szCs w:val="23"/>
        </w:rPr>
        <w:t>, des raisons de son arrestation et de toute accusation portée contre elle</w:t>
      </w:r>
      <w:r w:rsidRPr="004A0DBC">
        <w:rPr>
          <w:sz w:val="23"/>
          <w:szCs w:val="23"/>
        </w:rPr>
        <w:t> ».</w:t>
      </w:r>
    </w:p>
    <w:p w:rsidR="00F155E6" w:rsidRPr="004A0DBC" w:rsidRDefault="00F155E6" w:rsidP="007441CC">
      <w:pPr>
        <w:pStyle w:val="ParagrapheList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F155E6" w:rsidRPr="004A0DBC" w:rsidRDefault="001636F8" w:rsidP="007441CC">
      <w:pPr>
        <w:pStyle w:val="ParagrapheList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  <w:r w:rsidRPr="004A0DBC">
        <w:rPr>
          <w:sz w:val="23"/>
          <w:szCs w:val="23"/>
        </w:rPr>
        <w:t xml:space="preserve">Cette </w:t>
      </w:r>
      <w:r w:rsidR="00F155E6" w:rsidRPr="004A0DBC">
        <w:rPr>
          <w:sz w:val="23"/>
          <w:szCs w:val="23"/>
        </w:rPr>
        <w:t xml:space="preserve">exigence </w:t>
      </w:r>
      <w:r w:rsidRPr="004A0DBC">
        <w:rPr>
          <w:sz w:val="23"/>
          <w:szCs w:val="23"/>
        </w:rPr>
        <w:t xml:space="preserve">tenant à la notification d’une langue comprise </w:t>
      </w:r>
      <w:r w:rsidR="00F155E6" w:rsidRPr="004A0DBC">
        <w:rPr>
          <w:sz w:val="23"/>
          <w:szCs w:val="23"/>
        </w:rPr>
        <w:t xml:space="preserve">découle </w:t>
      </w:r>
      <w:r w:rsidRPr="004A0DBC">
        <w:rPr>
          <w:sz w:val="23"/>
          <w:szCs w:val="23"/>
        </w:rPr>
        <w:t>en outre</w:t>
      </w:r>
      <w:r w:rsidR="00F155E6" w:rsidRPr="004A0DBC">
        <w:rPr>
          <w:sz w:val="23"/>
          <w:szCs w:val="23"/>
        </w:rPr>
        <w:t xml:space="preserve"> de la jurisprudence de la Cour européenne des droits de l'homme et aujourd'hui des dispositions de la directive 2010/64/UE du 20 octobre 2010 relative au droit à l'interprétation et à la traduction dans l</w:t>
      </w:r>
      <w:r w:rsidRPr="004A0DBC">
        <w:rPr>
          <w:sz w:val="23"/>
          <w:szCs w:val="23"/>
        </w:rPr>
        <w:t>e cadre des procédures pénales</w:t>
      </w:r>
      <w:r w:rsidRPr="004A0DBC">
        <w:rPr>
          <w:rStyle w:val="Appelnotedebasdep"/>
          <w:sz w:val="23"/>
          <w:szCs w:val="23"/>
        </w:rPr>
        <w:footnoteReference w:id="1"/>
      </w:r>
      <w:r w:rsidRPr="004A0DBC">
        <w:rPr>
          <w:sz w:val="23"/>
          <w:szCs w:val="23"/>
        </w:rPr>
        <w:t>.</w:t>
      </w:r>
    </w:p>
    <w:p w:rsidR="00F155E6" w:rsidRPr="004A0DBC" w:rsidRDefault="00F155E6" w:rsidP="007441CC">
      <w:pPr>
        <w:pStyle w:val="ParagrapheList"/>
        <w:numPr>
          <w:ilvl w:val="0"/>
          <w:numId w:val="0"/>
        </w:numPr>
        <w:spacing w:line="276" w:lineRule="auto"/>
        <w:ind w:left="720"/>
        <w:rPr>
          <w:color w:val="000000"/>
          <w:sz w:val="23"/>
          <w:szCs w:val="23"/>
          <w:shd w:val="clear" w:color="auto" w:fill="FFFFFF"/>
        </w:rPr>
      </w:pPr>
    </w:p>
    <w:p w:rsidR="004D61AE" w:rsidRPr="004A0DBC" w:rsidRDefault="004D61AE" w:rsidP="007441CC">
      <w:pPr>
        <w:pStyle w:val="ParagrapheList"/>
        <w:spacing w:line="276" w:lineRule="auto"/>
        <w:rPr>
          <w:color w:val="000000"/>
          <w:sz w:val="23"/>
          <w:szCs w:val="23"/>
          <w:shd w:val="clear" w:color="auto" w:fill="FFFFFF"/>
        </w:rPr>
      </w:pPr>
      <w:r w:rsidRPr="004A0DBC">
        <w:rPr>
          <w:color w:val="000000"/>
          <w:sz w:val="23"/>
          <w:szCs w:val="23"/>
          <w:shd w:val="clear" w:color="auto" w:fill="FFFFFF"/>
        </w:rPr>
        <w:t>L’article 802 du CPP dispose</w:t>
      </w:r>
      <w:r w:rsidR="00B140DB" w:rsidRPr="004A0DBC">
        <w:rPr>
          <w:color w:val="000000"/>
          <w:sz w:val="23"/>
          <w:szCs w:val="23"/>
          <w:shd w:val="clear" w:color="auto" w:fill="FFFFFF"/>
        </w:rPr>
        <w:t>, pour sa part,</w:t>
      </w:r>
      <w:r w:rsidRPr="004A0DBC">
        <w:rPr>
          <w:color w:val="000000"/>
          <w:sz w:val="23"/>
          <w:szCs w:val="23"/>
          <w:shd w:val="clear" w:color="auto" w:fill="FFFFFF"/>
        </w:rPr>
        <w:t xml:space="preserve"> que : </w:t>
      </w:r>
    </w:p>
    <w:p w:rsidR="004D61AE" w:rsidRPr="004A0DBC" w:rsidRDefault="004D61AE" w:rsidP="007441CC">
      <w:pPr>
        <w:pStyle w:val="ParagrapheList"/>
        <w:numPr>
          <w:ilvl w:val="0"/>
          <w:numId w:val="0"/>
        </w:numPr>
        <w:spacing w:line="276" w:lineRule="auto"/>
        <w:ind w:left="720"/>
        <w:rPr>
          <w:color w:val="000000"/>
          <w:sz w:val="23"/>
          <w:szCs w:val="23"/>
          <w:shd w:val="clear" w:color="auto" w:fill="FFFFFF"/>
        </w:rPr>
      </w:pPr>
    </w:p>
    <w:p w:rsidR="004D61AE" w:rsidRPr="004A0DBC" w:rsidRDefault="004D61AE" w:rsidP="007441CC">
      <w:pPr>
        <w:pStyle w:val="ParagrapheList"/>
        <w:numPr>
          <w:ilvl w:val="0"/>
          <w:numId w:val="0"/>
        </w:numPr>
        <w:spacing w:line="276" w:lineRule="auto"/>
        <w:ind w:left="1416"/>
        <w:rPr>
          <w:color w:val="000000"/>
          <w:sz w:val="23"/>
          <w:szCs w:val="23"/>
          <w:shd w:val="clear" w:color="auto" w:fill="FFFFFF"/>
        </w:rPr>
      </w:pPr>
      <w:r w:rsidRPr="004A0DBC">
        <w:rPr>
          <w:color w:val="000000"/>
          <w:sz w:val="23"/>
          <w:szCs w:val="23"/>
          <w:shd w:val="clear" w:color="auto" w:fill="FFFFFF"/>
        </w:rPr>
        <w:t xml:space="preserve">« </w:t>
      </w:r>
      <w:r w:rsidRPr="004A0DBC">
        <w:rPr>
          <w:i/>
          <w:color w:val="000000"/>
          <w:sz w:val="23"/>
          <w:szCs w:val="23"/>
          <w:shd w:val="clear" w:color="auto" w:fill="FFFFFF"/>
        </w:rPr>
        <w:t>En cas de violation des formes prescrites par la loi à peine de nullité ou d'inobservation des formalités substantielles, toute juridiction, y compris la Cour de cassation, qui est saisie d'une demande d'annulation ou qui relève d'office une telle irrégularité ne peut prononcer la nullité que lorsque celle-ci a eu pour effet de porter atteinte aux intérêts de la partie qu'elle concerne</w:t>
      </w:r>
      <w:r w:rsidRPr="004A0DBC">
        <w:rPr>
          <w:color w:val="000000"/>
          <w:sz w:val="23"/>
          <w:szCs w:val="23"/>
          <w:shd w:val="clear" w:color="auto" w:fill="FFFFFF"/>
        </w:rPr>
        <w:t>. »</w:t>
      </w:r>
    </w:p>
    <w:p w:rsidR="004D61AE" w:rsidRPr="004A0DBC" w:rsidRDefault="004D61AE" w:rsidP="007441CC">
      <w:pPr>
        <w:pStyle w:val="ParagrapheList"/>
        <w:numPr>
          <w:ilvl w:val="0"/>
          <w:numId w:val="0"/>
        </w:numPr>
        <w:spacing w:line="276" w:lineRule="auto"/>
        <w:ind w:left="720"/>
        <w:rPr>
          <w:color w:val="000000"/>
          <w:sz w:val="23"/>
          <w:szCs w:val="23"/>
          <w:shd w:val="clear" w:color="auto" w:fill="FFFFFF"/>
        </w:rPr>
      </w:pPr>
    </w:p>
    <w:p w:rsidR="00E00C0C" w:rsidRPr="004A0DBC" w:rsidRDefault="00E00C0C" w:rsidP="007441CC">
      <w:pPr>
        <w:pStyle w:val="ParagrapheList"/>
        <w:spacing w:line="276" w:lineRule="auto"/>
        <w:rPr>
          <w:sz w:val="23"/>
          <w:szCs w:val="23"/>
        </w:rPr>
      </w:pPr>
      <w:r w:rsidRPr="004A0DBC">
        <w:rPr>
          <w:sz w:val="23"/>
          <w:szCs w:val="23"/>
          <w:shd w:val="clear" w:color="auto" w:fill="FFFFFF"/>
        </w:rPr>
        <w:t xml:space="preserve">Ainsi, la Cour de Cassation considère que le défaut de notification des droits dans une langue comprise par le gardé à vue </w:t>
      </w:r>
      <w:r w:rsidRPr="004A0DBC">
        <w:rPr>
          <w:b/>
          <w:sz w:val="23"/>
          <w:szCs w:val="23"/>
          <w:shd w:val="clear" w:color="auto" w:fill="FFFFFF"/>
        </w:rPr>
        <w:t>porte nécessairement atteinte à ses intérêts</w:t>
      </w:r>
      <w:r w:rsidRPr="004A0DBC">
        <w:rPr>
          <w:sz w:val="23"/>
          <w:szCs w:val="23"/>
          <w:shd w:val="clear" w:color="auto" w:fill="FFFFFF"/>
        </w:rPr>
        <w:t>, à moins qu’il existe une « </w:t>
      </w:r>
      <w:r w:rsidRPr="004A0DBC">
        <w:rPr>
          <w:i/>
          <w:sz w:val="23"/>
          <w:szCs w:val="23"/>
          <w:shd w:val="clear" w:color="auto" w:fill="FFFFFF"/>
        </w:rPr>
        <w:t>circonstance insurmontable justifiant qu'il ait été impossible, en l'espèce, de faire immédiatement appel à un interprète</w:t>
      </w:r>
      <w:r w:rsidRPr="004A0DBC">
        <w:rPr>
          <w:sz w:val="23"/>
          <w:szCs w:val="23"/>
          <w:shd w:val="clear" w:color="auto" w:fill="FFFFFF"/>
        </w:rPr>
        <w:t> » l</w:t>
      </w:r>
      <w:r w:rsidR="00495E37" w:rsidRPr="004A0DBC">
        <w:rPr>
          <w:sz w:val="23"/>
          <w:szCs w:val="23"/>
          <w:shd w:val="clear" w:color="auto" w:fill="FFFFFF"/>
        </w:rPr>
        <w:t>ors du placement en garde à vue</w:t>
      </w:r>
      <w:r w:rsidRPr="004A0DBC">
        <w:rPr>
          <w:rStyle w:val="Appelnotedebasdep"/>
          <w:rFonts w:cs="Calibri"/>
          <w:color w:val="000000"/>
          <w:sz w:val="23"/>
          <w:szCs w:val="23"/>
          <w:shd w:val="clear" w:color="auto" w:fill="FFFFFF"/>
        </w:rPr>
        <w:footnoteReference w:id="2"/>
      </w:r>
      <w:r w:rsidR="00495E37" w:rsidRPr="004A0DBC">
        <w:rPr>
          <w:sz w:val="23"/>
          <w:szCs w:val="23"/>
          <w:shd w:val="clear" w:color="auto" w:fill="FFFFFF"/>
        </w:rPr>
        <w:t>.</w:t>
      </w:r>
    </w:p>
    <w:p w:rsidR="001F7EAA" w:rsidRPr="004A0DBC" w:rsidRDefault="00905353" w:rsidP="007441CC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  <w:r w:rsidRPr="004A0DBC">
        <w:rPr>
          <w:sz w:val="23"/>
          <w:szCs w:val="23"/>
        </w:rPr>
        <w:lastRenderedPageBreak/>
        <w:t xml:space="preserve">La nécessité d’une compréhension effective est </w:t>
      </w:r>
      <w:r w:rsidR="00495E37" w:rsidRPr="004A0DBC">
        <w:rPr>
          <w:sz w:val="23"/>
          <w:szCs w:val="23"/>
        </w:rPr>
        <w:t xml:space="preserve">d’ailleurs </w:t>
      </w:r>
      <w:r w:rsidRPr="004A0DBC">
        <w:rPr>
          <w:sz w:val="23"/>
          <w:szCs w:val="23"/>
        </w:rPr>
        <w:t>telle que la Cour de cassation a considéré que la remise d'un formulaire écrit n'est pas optionnelle</w:t>
      </w:r>
      <w:r w:rsidRPr="004A0DBC">
        <w:rPr>
          <w:rStyle w:val="Appelnotedebasdep"/>
          <w:sz w:val="23"/>
          <w:szCs w:val="23"/>
        </w:rPr>
        <w:footnoteReference w:id="3"/>
      </w:r>
      <w:r w:rsidRPr="004A0DBC">
        <w:rPr>
          <w:sz w:val="23"/>
          <w:szCs w:val="23"/>
        </w:rPr>
        <w:t xml:space="preserve">. </w:t>
      </w:r>
      <w:r w:rsidRPr="004A0DBC">
        <w:rPr>
          <w:sz w:val="23"/>
          <w:szCs w:val="23"/>
          <w:u w:val="single"/>
        </w:rPr>
        <w:t xml:space="preserve">Le formulaire écrit ne permet donc </w:t>
      </w:r>
      <w:r w:rsidR="00294E43" w:rsidRPr="004A0DBC">
        <w:rPr>
          <w:sz w:val="23"/>
          <w:szCs w:val="23"/>
          <w:u w:val="single"/>
        </w:rPr>
        <w:t>pas</w:t>
      </w:r>
      <w:r w:rsidRPr="004A0DBC">
        <w:rPr>
          <w:sz w:val="23"/>
          <w:szCs w:val="23"/>
          <w:u w:val="single"/>
        </w:rPr>
        <w:t xml:space="preserve"> d'éviter l'intervention de l'interprète qui seul peut s'assurer que la personne a effectivement compris les informations reçues</w:t>
      </w:r>
      <w:r w:rsidR="001F7EAA" w:rsidRPr="004A0DBC">
        <w:rPr>
          <w:rStyle w:val="Appelnotedebasdep"/>
          <w:sz w:val="23"/>
          <w:szCs w:val="23"/>
        </w:rPr>
        <w:footnoteReference w:id="4"/>
      </w:r>
      <w:r w:rsidRPr="004A0DBC">
        <w:rPr>
          <w:sz w:val="23"/>
          <w:szCs w:val="23"/>
        </w:rPr>
        <w:t xml:space="preserve">. </w:t>
      </w:r>
    </w:p>
    <w:p w:rsidR="004D61AE" w:rsidRPr="004A0DBC" w:rsidRDefault="004D61AE" w:rsidP="007441CC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1F7EAA" w:rsidRPr="004A0DBC" w:rsidRDefault="001F7EAA" w:rsidP="007441CC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7E10BB" w:rsidRPr="004A0DBC" w:rsidRDefault="007E10BB" w:rsidP="007441CC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</w:p>
    <w:p w:rsidR="007E10BB" w:rsidRPr="004A0DBC" w:rsidRDefault="007E10BB" w:rsidP="007441CC">
      <w:pPr>
        <w:pStyle w:val="Paragraphenormal"/>
        <w:numPr>
          <w:ilvl w:val="1"/>
          <w:numId w:val="7"/>
        </w:numPr>
        <w:spacing w:line="276" w:lineRule="auto"/>
        <w:rPr>
          <w:b/>
          <w:sz w:val="23"/>
          <w:szCs w:val="23"/>
        </w:rPr>
      </w:pPr>
      <w:r w:rsidRPr="004A0DBC">
        <w:rPr>
          <w:b/>
          <w:sz w:val="23"/>
          <w:szCs w:val="23"/>
        </w:rPr>
        <w:t>En l’espèce</w:t>
      </w:r>
    </w:p>
    <w:p w:rsidR="00F645EA" w:rsidRPr="004A0DBC" w:rsidRDefault="00F645EA" w:rsidP="007441CC">
      <w:pPr>
        <w:pStyle w:val="Paragraphedeliste1"/>
        <w:spacing w:line="276" w:lineRule="auto"/>
        <w:rPr>
          <w:sz w:val="23"/>
          <w:szCs w:val="23"/>
        </w:rPr>
      </w:pPr>
      <w:r w:rsidRPr="004A0DBC">
        <w:rPr>
          <w:sz w:val="23"/>
          <w:szCs w:val="23"/>
        </w:rPr>
        <w:t xml:space="preserve">En l’espèce, </w:t>
      </w:r>
    </w:p>
    <w:p w:rsidR="00F645EA" w:rsidRPr="004A0DBC" w:rsidRDefault="00F645EA" w:rsidP="007441CC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C25225" w:rsidRPr="004A0DBC" w:rsidRDefault="00C25225" w:rsidP="007441CC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C25225" w:rsidRPr="004A0DBC" w:rsidRDefault="00C25225" w:rsidP="007441CC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C25225" w:rsidRPr="004A0DBC" w:rsidRDefault="00C25225" w:rsidP="007441CC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C25225" w:rsidRPr="004A0DBC" w:rsidRDefault="00C25225" w:rsidP="007441CC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C25225" w:rsidRPr="004A0DBC" w:rsidRDefault="00C25225" w:rsidP="007441CC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C25225" w:rsidRPr="004A0DBC" w:rsidRDefault="00C25225" w:rsidP="007441CC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C25225" w:rsidRPr="004A0DBC" w:rsidRDefault="00C25225" w:rsidP="007441CC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C25225" w:rsidRPr="004A0DBC" w:rsidRDefault="00C25225" w:rsidP="007441CC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F645EA" w:rsidRPr="004A0DBC" w:rsidRDefault="00F645EA" w:rsidP="007441CC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  <w:r w:rsidRPr="004A0DBC">
        <w:rPr>
          <w:sz w:val="23"/>
          <w:szCs w:val="23"/>
        </w:rPr>
        <w:t>De plus, aucun élément de la procédure n’établit une circonstance insurmontable</w:t>
      </w:r>
      <w:r w:rsidR="00C25225" w:rsidRPr="004A0DBC">
        <w:rPr>
          <w:sz w:val="23"/>
          <w:szCs w:val="23"/>
        </w:rPr>
        <w:t>.</w:t>
      </w:r>
      <w:r w:rsidR="00A81244" w:rsidRPr="004A0DBC">
        <w:rPr>
          <w:sz w:val="23"/>
          <w:szCs w:val="23"/>
        </w:rPr>
        <w:t xml:space="preserve"> </w:t>
      </w:r>
    </w:p>
    <w:p w:rsidR="00F645EA" w:rsidRPr="004A0DBC" w:rsidRDefault="00F645EA" w:rsidP="007441CC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F645EA" w:rsidRPr="004A0DBC" w:rsidRDefault="007E10BB" w:rsidP="007441CC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  <w:r w:rsidRPr="004A0DBC">
        <w:rPr>
          <w:sz w:val="23"/>
          <w:szCs w:val="23"/>
        </w:rPr>
        <w:t xml:space="preserve">Il est donc manifeste </w:t>
      </w:r>
      <w:r w:rsidR="00B06481" w:rsidRPr="004A0DBC">
        <w:rPr>
          <w:sz w:val="23"/>
          <w:szCs w:val="23"/>
        </w:rPr>
        <w:t xml:space="preserve">le Concluant </w:t>
      </w:r>
      <w:r w:rsidRPr="004A0DBC">
        <w:rPr>
          <w:sz w:val="23"/>
          <w:szCs w:val="23"/>
        </w:rPr>
        <w:t xml:space="preserve">n’a pas été en mesure de comprendre effectivement les droits dont il jouissait pendant </w:t>
      </w:r>
      <w:r w:rsidRPr="004A0DBC">
        <w:rPr>
          <w:b/>
          <w:sz w:val="23"/>
          <w:szCs w:val="23"/>
        </w:rPr>
        <w:t>toute la durée de la garde à vue</w:t>
      </w:r>
      <w:r w:rsidRPr="004A0DBC">
        <w:rPr>
          <w:sz w:val="23"/>
          <w:szCs w:val="23"/>
        </w:rPr>
        <w:t>.</w:t>
      </w:r>
    </w:p>
    <w:p w:rsidR="00F645EA" w:rsidRPr="004A0DBC" w:rsidRDefault="00F645EA" w:rsidP="007441CC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F645EA" w:rsidRPr="004A0DBC" w:rsidRDefault="00F645EA" w:rsidP="007441CC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  <w:r w:rsidRPr="004A0DBC">
        <w:rPr>
          <w:sz w:val="23"/>
          <w:szCs w:val="23"/>
        </w:rPr>
        <w:t xml:space="preserve">Dès lors, </w:t>
      </w:r>
      <w:r w:rsidR="00B06481" w:rsidRPr="004A0DBC">
        <w:rPr>
          <w:sz w:val="23"/>
          <w:szCs w:val="23"/>
        </w:rPr>
        <w:t>le Tribunal prononcera</w:t>
      </w:r>
      <w:r w:rsidRPr="004A0DBC">
        <w:rPr>
          <w:sz w:val="23"/>
          <w:szCs w:val="23"/>
        </w:rPr>
        <w:t xml:space="preserve"> </w:t>
      </w:r>
      <w:r w:rsidR="00B06481" w:rsidRPr="004A0DBC">
        <w:rPr>
          <w:sz w:val="23"/>
          <w:szCs w:val="23"/>
        </w:rPr>
        <w:t>la nullité</w:t>
      </w:r>
      <w:r w:rsidRPr="004A0DBC">
        <w:rPr>
          <w:sz w:val="23"/>
          <w:szCs w:val="23"/>
        </w:rPr>
        <w:t xml:space="preserve"> de la garde à vue </w:t>
      </w:r>
      <w:r w:rsidR="00B06481" w:rsidRPr="004A0DBC">
        <w:rPr>
          <w:sz w:val="23"/>
          <w:szCs w:val="23"/>
        </w:rPr>
        <w:t>du Concluant</w:t>
      </w:r>
      <w:r w:rsidRPr="004A0DBC">
        <w:rPr>
          <w:sz w:val="23"/>
          <w:szCs w:val="23"/>
        </w:rPr>
        <w:t>.</w:t>
      </w:r>
    </w:p>
    <w:p w:rsidR="00182413" w:rsidRPr="004A0DBC" w:rsidRDefault="00182413" w:rsidP="007441CC">
      <w:pPr>
        <w:pStyle w:val="Paragraphedeliste1"/>
        <w:numPr>
          <w:ilvl w:val="0"/>
          <w:numId w:val="0"/>
        </w:numPr>
        <w:spacing w:line="276" w:lineRule="auto"/>
        <w:rPr>
          <w:sz w:val="23"/>
          <w:szCs w:val="23"/>
        </w:rPr>
      </w:pPr>
    </w:p>
    <w:p w:rsidR="00C25225" w:rsidRPr="004A0DBC" w:rsidRDefault="00C25225" w:rsidP="007441CC">
      <w:pPr>
        <w:pStyle w:val="Paragraphedeliste1"/>
        <w:numPr>
          <w:ilvl w:val="0"/>
          <w:numId w:val="0"/>
        </w:numPr>
        <w:spacing w:line="276" w:lineRule="auto"/>
        <w:jc w:val="center"/>
        <w:rPr>
          <w:sz w:val="23"/>
          <w:szCs w:val="23"/>
        </w:rPr>
      </w:pPr>
      <w:r w:rsidRPr="004A0DBC">
        <w:rPr>
          <w:sz w:val="23"/>
          <w:szCs w:val="23"/>
        </w:rPr>
        <w:t>*     *     *</w:t>
      </w:r>
    </w:p>
    <w:p w:rsidR="00F1660C" w:rsidRPr="004A0DBC" w:rsidRDefault="00F1660C" w:rsidP="007441CC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C25225" w:rsidRPr="004A0DBC" w:rsidRDefault="00C25225" w:rsidP="007441CC">
      <w:pPr>
        <w:pStyle w:val="Paragraphedeliste1"/>
        <w:spacing w:line="276" w:lineRule="auto"/>
        <w:rPr>
          <w:sz w:val="23"/>
          <w:szCs w:val="23"/>
        </w:rPr>
      </w:pPr>
      <w:r w:rsidRPr="004A0DBC">
        <w:rPr>
          <w:sz w:val="23"/>
          <w:szCs w:val="23"/>
        </w:rPr>
        <w:t xml:space="preserve">L’article 459 du CPP prévoit en son alinéa 4 que la juridiction correctionnelle ne peut joindre au fond une exception de procédure si celle-ci </w:t>
      </w:r>
      <w:r w:rsidRPr="004A0DBC">
        <w:rPr>
          <w:sz w:val="23"/>
          <w:szCs w:val="23"/>
          <w:u w:val="single"/>
        </w:rPr>
        <w:t>touche à l’ordre public</w:t>
      </w:r>
      <w:r w:rsidRPr="004A0DBC">
        <w:rPr>
          <w:sz w:val="23"/>
          <w:szCs w:val="23"/>
        </w:rPr>
        <w:t>.</w:t>
      </w:r>
    </w:p>
    <w:p w:rsidR="00C25225" w:rsidRPr="004A0DBC" w:rsidRDefault="00C25225" w:rsidP="007441CC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C25225" w:rsidRPr="004A0DBC" w:rsidRDefault="00C25225" w:rsidP="007441CC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  <w:r w:rsidRPr="004A0DBC">
        <w:rPr>
          <w:sz w:val="23"/>
          <w:szCs w:val="23"/>
        </w:rPr>
        <w:t>Il est constant que les principes afférant aux circonstances de la privation de liberté d’un individu sont d’ordre public.</w:t>
      </w:r>
    </w:p>
    <w:p w:rsidR="00C25225" w:rsidRPr="004A0DBC" w:rsidRDefault="00C25225" w:rsidP="007441CC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</w:p>
    <w:p w:rsidR="00C25225" w:rsidRPr="004A0DBC" w:rsidRDefault="00C25225" w:rsidP="007441CC">
      <w:pPr>
        <w:pStyle w:val="Paragraphedeliste1"/>
        <w:numPr>
          <w:ilvl w:val="0"/>
          <w:numId w:val="0"/>
        </w:numPr>
        <w:spacing w:line="276" w:lineRule="auto"/>
        <w:ind w:left="1068" w:hanging="360"/>
        <w:rPr>
          <w:sz w:val="23"/>
          <w:szCs w:val="23"/>
        </w:rPr>
      </w:pPr>
      <w:r w:rsidRPr="004A0DBC">
        <w:rPr>
          <w:sz w:val="23"/>
          <w:szCs w:val="23"/>
        </w:rPr>
        <w:t>Aussi, il sera demandé au Tribunal de céans de ne pas joindre l’incident au fond.</w:t>
      </w:r>
    </w:p>
    <w:p w:rsidR="003171D1" w:rsidRPr="004A0DBC" w:rsidRDefault="003171D1" w:rsidP="007441CC">
      <w:pPr>
        <w:spacing w:line="276" w:lineRule="auto"/>
        <w:rPr>
          <w:rFonts w:ascii="Garamond" w:hAnsi="Garamond"/>
          <w:sz w:val="23"/>
          <w:szCs w:val="23"/>
        </w:rPr>
      </w:pPr>
      <w:r w:rsidRPr="004A0DBC">
        <w:rPr>
          <w:rFonts w:ascii="Garamond" w:hAnsi="Garamond"/>
          <w:sz w:val="23"/>
          <w:szCs w:val="23"/>
        </w:rPr>
        <w:br w:type="page"/>
      </w:r>
    </w:p>
    <w:p w:rsidR="003171D1" w:rsidRPr="004A0DBC" w:rsidRDefault="003171D1" w:rsidP="007441CC">
      <w:pPr>
        <w:pStyle w:val="Paragraphedeliste1"/>
        <w:numPr>
          <w:ilvl w:val="0"/>
          <w:numId w:val="0"/>
        </w:numPr>
        <w:spacing w:line="276" w:lineRule="auto"/>
        <w:ind w:left="720"/>
        <w:jc w:val="center"/>
        <w:rPr>
          <w:b/>
          <w:smallCaps/>
          <w:sz w:val="23"/>
          <w:szCs w:val="23"/>
        </w:rPr>
      </w:pPr>
      <w:r w:rsidRPr="004A0DBC">
        <w:rPr>
          <w:b/>
          <w:smallCaps/>
          <w:sz w:val="23"/>
          <w:szCs w:val="23"/>
        </w:rPr>
        <w:lastRenderedPageBreak/>
        <w:t>Par ces motifs</w:t>
      </w:r>
    </w:p>
    <w:p w:rsidR="003171D1" w:rsidRPr="004A0DBC" w:rsidRDefault="003171D1" w:rsidP="007441CC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3171D1" w:rsidRPr="004A0DBC" w:rsidRDefault="003171D1" w:rsidP="007441CC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</w:p>
    <w:p w:rsidR="003171D1" w:rsidRPr="004A0DBC" w:rsidRDefault="003171D1" w:rsidP="007441CC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  <w:r w:rsidRPr="004A0DBC">
        <w:rPr>
          <w:sz w:val="23"/>
          <w:szCs w:val="23"/>
        </w:rPr>
        <w:t>Vu l</w:t>
      </w:r>
      <w:r w:rsidR="00A774D8" w:rsidRPr="004A0DBC">
        <w:rPr>
          <w:sz w:val="23"/>
          <w:szCs w:val="23"/>
        </w:rPr>
        <w:t>es articles préliminaire,</w:t>
      </w:r>
      <w:r w:rsidR="00205AB9" w:rsidRPr="004A0DBC">
        <w:rPr>
          <w:sz w:val="23"/>
          <w:szCs w:val="23"/>
        </w:rPr>
        <w:t xml:space="preserve"> </w:t>
      </w:r>
      <w:r w:rsidR="00A774D8" w:rsidRPr="004A0DBC">
        <w:rPr>
          <w:sz w:val="23"/>
          <w:szCs w:val="23"/>
        </w:rPr>
        <w:t>63-1</w:t>
      </w:r>
      <w:r w:rsidR="00B140DB" w:rsidRPr="004A0DBC">
        <w:rPr>
          <w:sz w:val="23"/>
          <w:szCs w:val="23"/>
        </w:rPr>
        <w:t>,</w:t>
      </w:r>
      <w:r w:rsidR="00A774D8" w:rsidRPr="004A0DBC">
        <w:rPr>
          <w:sz w:val="23"/>
          <w:szCs w:val="23"/>
        </w:rPr>
        <w:t xml:space="preserve"> </w:t>
      </w:r>
      <w:r w:rsidRPr="004A0DBC">
        <w:rPr>
          <w:sz w:val="23"/>
          <w:szCs w:val="23"/>
        </w:rPr>
        <w:t>385</w:t>
      </w:r>
      <w:r w:rsidR="000D52BE" w:rsidRPr="004A0DBC">
        <w:rPr>
          <w:sz w:val="23"/>
          <w:szCs w:val="23"/>
        </w:rPr>
        <w:t>, 459</w:t>
      </w:r>
      <w:r w:rsidRPr="004A0DBC">
        <w:rPr>
          <w:sz w:val="23"/>
          <w:szCs w:val="23"/>
        </w:rPr>
        <w:t xml:space="preserve"> </w:t>
      </w:r>
      <w:r w:rsidR="00B140DB" w:rsidRPr="004A0DBC">
        <w:rPr>
          <w:sz w:val="23"/>
          <w:szCs w:val="23"/>
        </w:rPr>
        <w:t xml:space="preserve">et 802 </w:t>
      </w:r>
      <w:r w:rsidRPr="004A0DBC">
        <w:rPr>
          <w:sz w:val="23"/>
          <w:szCs w:val="23"/>
        </w:rPr>
        <w:t>du Code de procédure pénale,</w:t>
      </w:r>
    </w:p>
    <w:p w:rsidR="00A774D8" w:rsidRPr="004A0DBC" w:rsidRDefault="00A774D8" w:rsidP="007441CC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</w:p>
    <w:p w:rsidR="003171D1" w:rsidRPr="004A0DBC" w:rsidRDefault="003171D1" w:rsidP="007441CC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  <w:r w:rsidRPr="004A0DBC">
        <w:rPr>
          <w:sz w:val="23"/>
          <w:szCs w:val="23"/>
        </w:rPr>
        <w:t>Vu les présentes conclusions et la jurisprudence y reproduite,</w:t>
      </w:r>
    </w:p>
    <w:p w:rsidR="003171D1" w:rsidRPr="004A0DBC" w:rsidRDefault="003171D1" w:rsidP="007441CC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</w:p>
    <w:p w:rsidR="003171D1" w:rsidRPr="004A0DBC" w:rsidRDefault="003171D1" w:rsidP="007441CC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  <w:r w:rsidRPr="004A0DBC">
        <w:rPr>
          <w:sz w:val="23"/>
          <w:szCs w:val="23"/>
        </w:rPr>
        <w:t>Il est demandé au Tribunal de :</w:t>
      </w:r>
    </w:p>
    <w:p w:rsidR="003171D1" w:rsidRPr="004A0DBC" w:rsidRDefault="003171D1" w:rsidP="007441CC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</w:p>
    <w:p w:rsidR="00304175" w:rsidRPr="004A0DBC" w:rsidRDefault="00304175" w:rsidP="007441CC">
      <w:pPr>
        <w:pStyle w:val="Paragraphedeliste1"/>
        <w:numPr>
          <w:ilvl w:val="0"/>
          <w:numId w:val="6"/>
        </w:numPr>
        <w:spacing w:line="276" w:lineRule="auto"/>
        <w:rPr>
          <w:sz w:val="23"/>
          <w:szCs w:val="23"/>
        </w:rPr>
      </w:pPr>
      <w:r w:rsidRPr="004A0DBC">
        <w:rPr>
          <w:b/>
          <w:sz w:val="23"/>
          <w:szCs w:val="23"/>
        </w:rPr>
        <w:t>Dire et juger</w:t>
      </w:r>
      <w:r w:rsidRPr="004A0DBC">
        <w:rPr>
          <w:sz w:val="23"/>
          <w:szCs w:val="23"/>
        </w:rPr>
        <w:t xml:space="preserve"> recevable l’exception de nullité ;</w:t>
      </w:r>
    </w:p>
    <w:p w:rsidR="009842E4" w:rsidRPr="004A0DBC" w:rsidRDefault="009842E4" w:rsidP="007441CC">
      <w:pPr>
        <w:pStyle w:val="Paragraphedeliste1"/>
        <w:numPr>
          <w:ilvl w:val="0"/>
          <w:numId w:val="0"/>
        </w:numPr>
        <w:spacing w:line="276" w:lineRule="auto"/>
        <w:ind w:left="1080"/>
        <w:rPr>
          <w:sz w:val="23"/>
          <w:szCs w:val="23"/>
        </w:rPr>
      </w:pPr>
    </w:p>
    <w:p w:rsidR="009842E4" w:rsidRPr="004A0DBC" w:rsidRDefault="009842E4" w:rsidP="007441CC">
      <w:pPr>
        <w:pStyle w:val="Paragraphedeliste1"/>
        <w:numPr>
          <w:ilvl w:val="0"/>
          <w:numId w:val="6"/>
        </w:numPr>
        <w:spacing w:line="276" w:lineRule="auto"/>
        <w:rPr>
          <w:sz w:val="23"/>
          <w:szCs w:val="23"/>
        </w:rPr>
      </w:pPr>
      <w:r w:rsidRPr="004A0DBC">
        <w:rPr>
          <w:b/>
          <w:sz w:val="23"/>
          <w:szCs w:val="23"/>
        </w:rPr>
        <w:t>Y répondre</w:t>
      </w:r>
      <w:r w:rsidRPr="004A0DBC">
        <w:rPr>
          <w:sz w:val="23"/>
          <w:szCs w:val="23"/>
        </w:rPr>
        <w:t xml:space="preserve"> par jugement séparé </w:t>
      </w:r>
      <w:r w:rsidRPr="004A0DBC">
        <w:rPr>
          <w:i/>
          <w:sz w:val="23"/>
          <w:szCs w:val="23"/>
        </w:rPr>
        <w:t>in limine litis </w:t>
      </w:r>
      <w:r w:rsidRPr="004A0DBC">
        <w:rPr>
          <w:sz w:val="23"/>
          <w:szCs w:val="23"/>
        </w:rPr>
        <w:t>;</w:t>
      </w:r>
    </w:p>
    <w:p w:rsidR="00304175" w:rsidRPr="004A0DBC" w:rsidRDefault="00304175" w:rsidP="007441CC">
      <w:pPr>
        <w:pStyle w:val="Paragraphedeliste1"/>
        <w:numPr>
          <w:ilvl w:val="0"/>
          <w:numId w:val="0"/>
        </w:numPr>
        <w:spacing w:line="276" w:lineRule="auto"/>
        <w:ind w:left="1080"/>
        <w:rPr>
          <w:sz w:val="23"/>
          <w:szCs w:val="23"/>
        </w:rPr>
      </w:pPr>
    </w:p>
    <w:p w:rsidR="00304175" w:rsidRPr="004A0DBC" w:rsidRDefault="003171D1" w:rsidP="007441CC">
      <w:pPr>
        <w:pStyle w:val="Paragraphedeliste1"/>
        <w:numPr>
          <w:ilvl w:val="0"/>
          <w:numId w:val="6"/>
        </w:numPr>
        <w:spacing w:line="276" w:lineRule="auto"/>
        <w:rPr>
          <w:sz w:val="23"/>
          <w:szCs w:val="23"/>
        </w:rPr>
      </w:pPr>
      <w:r w:rsidRPr="004A0DBC">
        <w:rPr>
          <w:b/>
          <w:sz w:val="23"/>
          <w:szCs w:val="23"/>
        </w:rPr>
        <w:t>Constater</w:t>
      </w:r>
      <w:r w:rsidRPr="004A0DBC">
        <w:rPr>
          <w:sz w:val="23"/>
          <w:szCs w:val="23"/>
        </w:rPr>
        <w:t xml:space="preserve"> que </w:t>
      </w:r>
      <w:r w:rsidR="00B140DB" w:rsidRPr="004A0DBC">
        <w:rPr>
          <w:sz w:val="23"/>
          <w:szCs w:val="23"/>
        </w:rPr>
        <w:t>les</w:t>
      </w:r>
      <w:r w:rsidR="00304175" w:rsidRPr="004A0DBC">
        <w:rPr>
          <w:sz w:val="23"/>
          <w:szCs w:val="23"/>
        </w:rPr>
        <w:t xml:space="preserve"> droits d</w:t>
      </w:r>
      <w:r w:rsidR="00EA7A9C" w:rsidRPr="004A0DBC">
        <w:rPr>
          <w:sz w:val="23"/>
          <w:szCs w:val="23"/>
        </w:rPr>
        <w:t>u Concluant</w:t>
      </w:r>
      <w:r w:rsidR="00304175" w:rsidRPr="004A0DBC">
        <w:rPr>
          <w:sz w:val="23"/>
          <w:szCs w:val="23"/>
        </w:rPr>
        <w:t xml:space="preserve"> </w:t>
      </w:r>
      <w:r w:rsidR="00B140DB" w:rsidRPr="004A0DBC">
        <w:rPr>
          <w:sz w:val="23"/>
          <w:szCs w:val="23"/>
        </w:rPr>
        <w:t>ne lui ont pas été notifié dans une langue qu’il était en mesure de comprendre</w:t>
      </w:r>
      <w:r w:rsidR="00304175" w:rsidRPr="004A0DBC">
        <w:rPr>
          <w:sz w:val="23"/>
          <w:szCs w:val="23"/>
        </w:rPr>
        <w:t> ;</w:t>
      </w:r>
    </w:p>
    <w:p w:rsidR="00304175" w:rsidRPr="004A0DBC" w:rsidRDefault="00304175" w:rsidP="007441CC">
      <w:pPr>
        <w:pStyle w:val="Paragraphedeliste1"/>
        <w:numPr>
          <w:ilvl w:val="0"/>
          <w:numId w:val="0"/>
        </w:numPr>
        <w:spacing w:line="276" w:lineRule="auto"/>
        <w:ind w:left="1080"/>
        <w:rPr>
          <w:sz w:val="23"/>
          <w:szCs w:val="23"/>
        </w:rPr>
      </w:pPr>
    </w:p>
    <w:p w:rsidR="003171D1" w:rsidRPr="004A0DBC" w:rsidRDefault="00B140DB" w:rsidP="007441CC">
      <w:pPr>
        <w:pStyle w:val="Paragraphedeliste1"/>
        <w:numPr>
          <w:ilvl w:val="0"/>
          <w:numId w:val="6"/>
        </w:numPr>
        <w:spacing w:line="276" w:lineRule="auto"/>
        <w:rPr>
          <w:b/>
          <w:sz w:val="23"/>
          <w:szCs w:val="23"/>
        </w:rPr>
      </w:pPr>
      <w:r w:rsidRPr="004A0DBC">
        <w:rPr>
          <w:b/>
          <w:sz w:val="23"/>
          <w:szCs w:val="23"/>
        </w:rPr>
        <w:t xml:space="preserve">Prononcer </w:t>
      </w:r>
      <w:r w:rsidRPr="004A0DBC">
        <w:rPr>
          <w:sz w:val="23"/>
          <w:szCs w:val="23"/>
        </w:rPr>
        <w:t>la nullité de la notification des droits d</w:t>
      </w:r>
      <w:r w:rsidR="00EA7A9C" w:rsidRPr="004A0DBC">
        <w:rPr>
          <w:sz w:val="23"/>
          <w:szCs w:val="23"/>
        </w:rPr>
        <w:t>u Concluant </w:t>
      </w:r>
      <w:r w:rsidR="005C3EAA" w:rsidRPr="004A0DBC">
        <w:rPr>
          <w:sz w:val="23"/>
          <w:szCs w:val="23"/>
        </w:rPr>
        <w:t>;</w:t>
      </w:r>
    </w:p>
    <w:p w:rsidR="00266404" w:rsidRPr="004A0DBC" w:rsidRDefault="00266404" w:rsidP="007441CC">
      <w:pPr>
        <w:pStyle w:val="Paragraphedeliste1"/>
        <w:numPr>
          <w:ilvl w:val="0"/>
          <w:numId w:val="0"/>
        </w:numPr>
        <w:spacing w:line="276" w:lineRule="auto"/>
        <w:ind w:left="1080"/>
        <w:rPr>
          <w:sz w:val="23"/>
          <w:szCs w:val="23"/>
        </w:rPr>
      </w:pPr>
    </w:p>
    <w:p w:rsidR="00266404" w:rsidRPr="004A0DBC" w:rsidRDefault="005C3EAA" w:rsidP="007441CC">
      <w:pPr>
        <w:pStyle w:val="Paragraphedeliste1"/>
        <w:numPr>
          <w:ilvl w:val="0"/>
          <w:numId w:val="6"/>
        </w:numPr>
        <w:spacing w:line="276" w:lineRule="auto"/>
        <w:rPr>
          <w:sz w:val="23"/>
          <w:szCs w:val="23"/>
        </w:rPr>
      </w:pPr>
      <w:r w:rsidRPr="004A0DBC">
        <w:rPr>
          <w:b/>
          <w:sz w:val="23"/>
          <w:szCs w:val="23"/>
        </w:rPr>
        <w:t>Prononcer</w:t>
      </w:r>
      <w:r w:rsidR="00266404" w:rsidRPr="004A0DBC">
        <w:rPr>
          <w:sz w:val="23"/>
          <w:szCs w:val="23"/>
        </w:rPr>
        <w:t xml:space="preserve"> la nullité de tous les actes de garde à vue réalisés à l’endroit de </w:t>
      </w:r>
      <w:r w:rsidR="00A774D8" w:rsidRPr="004A0DBC">
        <w:rPr>
          <w:sz w:val="23"/>
          <w:szCs w:val="23"/>
        </w:rPr>
        <w:t xml:space="preserve"> </w:t>
      </w:r>
    </w:p>
    <w:p w:rsidR="00266404" w:rsidRPr="004A0DBC" w:rsidRDefault="00266404" w:rsidP="007441CC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3171D1" w:rsidRPr="004A0DBC" w:rsidRDefault="003171D1" w:rsidP="007441CC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</w:p>
    <w:p w:rsidR="00266404" w:rsidRPr="004A0DBC" w:rsidRDefault="00266404" w:rsidP="007441CC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</w:p>
    <w:p w:rsidR="00266404" w:rsidRPr="004A0DBC" w:rsidRDefault="00266404" w:rsidP="007441CC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</w:p>
    <w:p w:rsidR="00266404" w:rsidRPr="004A0DBC" w:rsidRDefault="00266404" w:rsidP="007441CC">
      <w:pPr>
        <w:pStyle w:val="Paragraphedeliste1"/>
        <w:numPr>
          <w:ilvl w:val="0"/>
          <w:numId w:val="0"/>
        </w:numPr>
        <w:spacing w:line="276" w:lineRule="auto"/>
        <w:ind w:left="720" w:hanging="360"/>
        <w:jc w:val="right"/>
        <w:rPr>
          <w:b/>
          <w:sz w:val="23"/>
          <w:szCs w:val="23"/>
        </w:rPr>
      </w:pPr>
      <w:r w:rsidRPr="004A0DBC">
        <w:rPr>
          <w:b/>
          <w:sz w:val="23"/>
          <w:szCs w:val="23"/>
        </w:rPr>
        <w:t>Sous tous réserves</w:t>
      </w:r>
    </w:p>
    <w:sectPr w:rsidR="00266404" w:rsidRPr="004A0DBC" w:rsidSect="00801C8E">
      <w:footerReference w:type="default" r:id="rId7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830" w:rsidRDefault="000F7830" w:rsidP="00C55882">
      <w:pPr>
        <w:spacing w:after="0" w:line="240" w:lineRule="auto"/>
      </w:pPr>
      <w:r>
        <w:separator/>
      </w:r>
    </w:p>
  </w:endnote>
  <w:endnote w:type="continuationSeparator" w:id="0">
    <w:p w:rsidR="000F7830" w:rsidRDefault="000F7830" w:rsidP="00C5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</w:rPr>
      <w:id w:val="484133895"/>
      <w:docPartObj>
        <w:docPartGallery w:val="Page Numbers (Bottom of Page)"/>
        <w:docPartUnique/>
      </w:docPartObj>
    </w:sdtPr>
    <w:sdtEndPr/>
    <w:sdtContent>
      <w:p w:rsidR="00A774D8" w:rsidRPr="00A774D8" w:rsidRDefault="00A774D8">
        <w:pPr>
          <w:pStyle w:val="Pieddepage"/>
          <w:jc w:val="center"/>
          <w:rPr>
            <w:rFonts w:ascii="Garamond" w:hAnsi="Garamond"/>
          </w:rPr>
        </w:pPr>
        <w:r w:rsidRPr="00A774D8">
          <w:rPr>
            <w:rFonts w:ascii="Garamond" w:hAnsi="Garamond"/>
          </w:rPr>
          <w:fldChar w:fldCharType="begin"/>
        </w:r>
        <w:r w:rsidRPr="00A774D8">
          <w:rPr>
            <w:rFonts w:ascii="Garamond" w:hAnsi="Garamond"/>
          </w:rPr>
          <w:instrText>PAGE   \* MERGEFORMAT</w:instrText>
        </w:r>
        <w:r w:rsidRPr="00A774D8">
          <w:rPr>
            <w:rFonts w:ascii="Garamond" w:hAnsi="Garamond"/>
          </w:rPr>
          <w:fldChar w:fldCharType="separate"/>
        </w:r>
        <w:r w:rsidR="00FA4272">
          <w:rPr>
            <w:rFonts w:ascii="Garamond" w:hAnsi="Garamond"/>
            <w:noProof/>
          </w:rPr>
          <w:t>4</w:t>
        </w:r>
        <w:r w:rsidRPr="00A774D8">
          <w:rPr>
            <w:rFonts w:ascii="Garamond" w:hAnsi="Garamond"/>
          </w:rPr>
          <w:fldChar w:fldCharType="end"/>
        </w:r>
      </w:p>
    </w:sdtContent>
  </w:sdt>
  <w:p w:rsidR="00266404" w:rsidRPr="00A774D8" w:rsidRDefault="00266404">
    <w:pPr>
      <w:pStyle w:val="Pieddepage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830" w:rsidRDefault="000F7830" w:rsidP="00C55882">
      <w:pPr>
        <w:spacing w:after="0" w:line="240" w:lineRule="auto"/>
      </w:pPr>
      <w:r>
        <w:separator/>
      </w:r>
    </w:p>
  </w:footnote>
  <w:footnote w:type="continuationSeparator" w:id="0">
    <w:p w:rsidR="000F7830" w:rsidRDefault="000F7830" w:rsidP="00C55882">
      <w:pPr>
        <w:spacing w:after="0" w:line="240" w:lineRule="auto"/>
      </w:pPr>
      <w:r>
        <w:continuationSeparator/>
      </w:r>
    </w:p>
  </w:footnote>
  <w:footnote w:id="1">
    <w:p w:rsidR="001636F8" w:rsidRPr="001F7EAA" w:rsidRDefault="001636F8">
      <w:pPr>
        <w:pStyle w:val="Notedebasdepage"/>
        <w:rPr>
          <w:rFonts w:ascii="Garamond" w:hAnsi="Garamond"/>
        </w:rPr>
      </w:pPr>
      <w:r w:rsidRPr="001F7EAA">
        <w:rPr>
          <w:rStyle w:val="Appelnotedebasdep"/>
          <w:rFonts w:ascii="Garamond" w:hAnsi="Garamond"/>
        </w:rPr>
        <w:footnoteRef/>
      </w:r>
      <w:r w:rsidRPr="001F7EAA">
        <w:rPr>
          <w:rFonts w:ascii="Garamond" w:hAnsi="Garamond"/>
        </w:rPr>
        <w:t xml:space="preserve"> JOUE, n° L 280, 26 octobre 2010.</w:t>
      </w:r>
    </w:p>
  </w:footnote>
  <w:footnote w:id="2">
    <w:p w:rsidR="00E00C0C" w:rsidRPr="001F7EAA" w:rsidRDefault="00E00C0C" w:rsidP="00E00C0C">
      <w:pPr>
        <w:pStyle w:val="Notedebasdepage"/>
        <w:rPr>
          <w:rFonts w:ascii="Garamond" w:hAnsi="Garamond" w:cs="Calibri"/>
        </w:rPr>
      </w:pPr>
      <w:r w:rsidRPr="001F7EAA">
        <w:rPr>
          <w:rStyle w:val="Appelnotedebasdep"/>
          <w:rFonts w:ascii="Garamond" w:hAnsi="Garamond" w:cs="Calibri"/>
        </w:rPr>
        <w:footnoteRef/>
      </w:r>
      <w:r w:rsidRPr="001F7EAA">
        <w:rPr>
          <w:rFonts w:ascii="Garamond" w:hAnsi="Garamond" w:cs="Calibri"/>
        </w:rPr>
        <w:t xml:space="preserve"> </w:t>
      </w:r>
      <w:r w:rsidR="00FA0520" w:rsidRPr="001F7EAA">
        <w:rPr>
          <w:rFonts w:ascii="Garamond" w:hAnsi="Garamond" w:cs="Calibri"/>
        </w:rPr>
        <w:t>2</w:t>
      </w:r>
      <w:r w:rsidR="00FA0520" w:rsidRPr="001F7EAA">
        <w:rPr>
          <w:rFonts w:ascii="Garamond" w:hAnsi="Garamond" w:cs="Calibri"/>
          <w:vertAlign w:val="superscript"/>
        </w:rPr>
        <w:t>e</w:t>
      </w:r>
      <w:r w:rsidR="00FA0520" w:rsidRPr="001F7EAA">
        <w:rPr>
          <w:rFonts w:ascii="Garamond" w:hAnsi="Garamond" w:cs="Calibri"/>
        </w:rPr>
        <w:t xml:space="preserve"> </w:t>
      </w:r>
      <w:r w:rsidRPr="001F7EAA">
        <w:rPr>
          <w:rFonts w:ascii="Garamond" w:hAnsi="Garamond" w:cs="Calibri"/>
        </w:rPr>
        <w:t>Civ. 24 fév</w:t>
      </w:r>
      <w:r w:rsidR="00FA0520" w:rsidRPr="001F7EAA">
        <w:rPr>
          <w:rFonts w:ascii="Garamond" w:hAnsi="Garamond" w:cs="Calibri"/>
        </w:rPr>
        <w:t>rier</w:t>
      </w:r>
      <w:r w:rsidRPr="001F7EAA">
        <w:rPr>
          <w:rFonts w:ascii="Garamond" w:hAnsi="Garamond" w:cs="Calibri"/>
        </w:rPr>
        <w:t xml:space="preserve"> 2000</w:t>
      </w:r>
      <w:r w:rsidR="00FA0520" w:rsidRPr="001F7EAA">
        <w:rPr>
          <w:rFonts w:ascii="Garamond" w:hAnsi="Garamond" w:cs="Calibri"/>
        </w:rPr>
        <w:t> :</w:t>
      </w:r>
      <w:r w:rsidRPr="001F7EAA">
        <w:rPr>
          <w:rFonts w:ascii="Garamond" w:hAnsi="Garamond" w:cs="Calibri"/>
        </w:rPr>
        <w:t xml:space="preserve"> n°</w:t>
      </w:r>
      <w:r w:rsidR="00FA0520" w:rsidRPr="001F7EAA">
        <w:rPr>
          <w:rFonts w:ascii="Garamond" w:hAnsi="Garamond" w:cs="Calibri"/>
        </w:rPr>
        <w:t> </w:t>
      </w:r>
      <w:r w:rsidRPr="001F7EAA">
        <w:rPr>
          <w:rFonts w:ascii="Garamond" w:hAnsi="Garamond" w:cs="Calibri"/>
        </w:rPr>
        <w:t>98-50042.</w:t>
      </w:r>
    </w:p>
  </w:footnote>
  <w:footnote w:id="3">
    <w:p w:rsidR="00905353" w:rsidRPr="001F7EAA" w:rsidRDefault="00905353">
      <w:pPr>
        <w:pStyle w:val="Notedebasdepage"/>
        <w:rPr>
          <w:rFonts w:ascii="Garamond" w:hAnsi="Garamond"/>
        </w:rPr>
      </w:pPr>
      <w:r w:rsidRPr="001F7EAA">
        <w:rPr>
          <w:rStyle w:val="Appelnotedebasdep"/>
          <w:rFonts w:ascii="Garamond" w:hAnsi="Garamond"/>
        </w:rPr>
        <w:footnoteRef/>
      </w:r>
      <w:r w:rsidRPr="001F7EAA">
        <w:rPr>
          <w:rFonts w:ascii="Garamond" w:hAnsi="Garamond"/>
        </w:rPr>
        <w:t xml:space="preserve"> 1</w:t>
      </w:r>
      <w:r w:rsidR="00FA0520" w:rsidRPr="001F7EAA">
        <w:rPr>
          <w:rFonts w:ascii="Garamond" w:hAnsi="Garamond"/>
          <w:vertAlign w:val="superscript"/>
        </w:rPr>
        <w:t>e</w:t>
      </w:r>
      <w:r w:rsidR="00FA0520" w:rsidRPr="001F7EAA">
        <w:rPr>
          <w:rFonts w:ascii="Garamond" w:hAnsi="Garamond"/>
        </w:rPr>
        <w:t xml:space="preserve"> </w:t>
      </w:r>
      <w:r w:rsidRPr="001F7EAA">
        <w:rPr>
          <w:rFonts w:ascii="Garamond" w:hAnsi="Garamond"/>
        </w:rPr>
        <w:t xml:space="preserve">Civ. 21 novembre 2012: n° 11-30458. </w:t>
      </w:r>
    </w:p>
  </w:footnote>
  <w:footnote w:id="4">
    <w:p w:rsidR="001F7EAA" w:rsidRPr="001F7EAA" w:rsidRDefault="001F7EAA">
      <w:pPr>
        <w:pStyle w:val="Notedebasdepage"/>
        <w:rPr>
          <w:rFonts w:ascii="Garamond" w:hAnsi="Garamond"/>
        </w:rPr>
      </w:pPr>
      <w:r w:rsidRPr="001F7EAA">
        <w:rPr>
          <w:rStyle w:val="Appelnotedebasdep"/>
          <w:rFonts w:ascii="Garamond" w:hAnsi="Garamond"/>
        </w:rPr>
        <w:footnoteRef/>
      </w:r>
      <w:r w:rsidRPr="001F7EAA">
        <w:rPr>
          <w:rFonts w:ascii="Garamond" w:hAnsi="Garamond"/>
        </w:rPr>
        <w:t xml:space="preserve"> Cette solution a été maintenue pour la déclaration des droits introduite à l'occasion de la transposition de la directive n</w:t>
      </w:r>
      <w:r>
        <w:rPr>
          <w:rFonts w:ascii="Garamond" w:hAnsi="Garamond"/>
        </w:rPr>
        <w:t>° </w:t>
      </w:r>
      <w:r w:rsidRPr="001F7EAA">
        <w:rPr>
          <w:rFonts w:ascii="Garamond" w:hAnsi="Garamond"/>
        </w:rPr>
        <w:t>2012/13/UE.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0EC1"/>
    <w:multiLevelType w:val="hybridMultilevel"/>
    <w:tmpl w:val="CD3620CA"/>
    <w:lvl w:ilvl="0" w:tplc="36D628C8">
      <w:start w:val="1"/>
      <w:numFmt w:val="decimal"/>
      <w:pStyle w:val="ParagrapheList"/>
      <w:lvlText w:val="%1."/>
      <w:lvlJc w:val="left"/>
      <w:pPr>
        <w:ind w:left="720" w:hanging="360"/>
      </w:pPr>
      <w:rPr>
        <w:rFonts w:ascii="Garamond" w:hAnsi="Garamond" w:hint="default"/>
        <w:b/>
        <w:i w:val="0"/>
        <w:sz w:val="18"/>
        <w:szCs w:val="1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12B8A"/>
    <w:multiLevelType w:val="hybridMultilevel"/>
    <w:tmpl w:val="10CEF89A"/>
    <w:lvl w:ilvl="0" w:tplc="3E827478">
      <w:start w:val="1"/>
      <w:numFmt w:val="decimal"/>
      <w:lvlText w:val="II.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0DF4187"/>
    <w:multiLevelType w:val="hybridMultilevel"/>
    <w:tmpl w:val="7A6E6B2C"/>
    <w:lvl w:ilvl="0" w:tplc="E162FF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3A1735"/>
    <w:multiLevelType w:val="hybridMultilevel"/>
    <w:tmpl w:val="013EEA8C"/>
    <w:lvl w:ilvl="0" w:tplc="3E827478">
      <w:start w:val="1"/>
      <w:numFmt w:val="decimal"/>
      <w:lvlText w:val="II.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70C61"/>
    <w:multiLevelType w:val="hybridMultilevel"/>
    <w:tmpl w:val="0E760B66"/>
    <w:lvl w:ilvl="0" w:tplc="877069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B85C5B"/>
    <w:multiLevelType w:val="hybridMultilevel"/>
    <w:tmpl w:val="8AE88CA0"/>
    <w:lvl w:ilvl="0" w:tplc="156668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E827478">
      <w:start w:val="1"/>
      <w:numFmt w:val="decimal"/>
      <w:lvlText w:val="II.%2."/>
      <w:lvlJc w:val="left"/>
      <w:pPr>
        <w:ind w:left="180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677553"/>
    <w:multiLevelType w:val="hybridMultilevel"/>
    <w:tmpl w:val="50E83532"/>
    <w:lvl w:ilvl="0" w:tplc="22AA3128">
      <w:start w:val="1"/>
      <w:numFmt w:val="bullet"/>
      <w:pStyle w:val="TiretLis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0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AB"/>
    <w:rsid w:val="00042A33"/>
    <w:rsid w:val="0008583B"/>
    <w:rsid w:val="000B0748"/>
    <w:rsid w:val="000C2B85"/>
    <w:rsid w:val="000C7B0C"/>
    <w:rsid w:val="000C7E06"/>
    <w:rsid w:val="000D52BE"/>
    <w:rsid w:val="000E5881"/>
    <w:rsid w:val="000F7830"/>
    <w:rsid w:val="001126B0"/>
    <w:rsid w:val="00144001"/>
    <w:rsid w:val="001636F8"/>
    <w:rsid w:val="00180E17"/>
    <w:rsid w:val="00182413"/>
    <w:rsid w:val="001B0C93"/>
    <w:rsid w:val="001F7EAA"/>
    <w:rsid w:val="00205AB9"/>
    <w:rsid w:val="002136D8"/>
    <w:rsid w:val="0023078E"/>
    <w:rsid w:val="00266404"/>
    <w:rsid w:val="00294E43"/>
    <w:rsid w:val="002B11DA"/>
    <w:rsid w:val="00304175"/>
    <w:rsid w:val="003171D1"/>
    <w:rsid w:val="003546D2"/>
    <w:rsid w:val="003A00EF"/>
    <w:rsid w:val="003A7614"/>
    <w:rsid w:val="003F5F7F"/>
    <w:rsid w:val="00495E37"/>
    <w:rsid w:val="004A0DBC"/>
    <w:rsid w:val="004D13A6"/>
    <w:rsid w:val="004D61AE"/>
    <w:rsid w:val="0053785B"/>
    <w:rsid w:val="005C3EAA"/>
    <w:rsid w:val="00653BAC"/>
    <w:rsid w:val="00653FB6"/>
    <w:rsid w:val="00666D9B"/>
    <w:rsid w:val="006A3CA2"/>
    <w:rsid w:val="006E1609"/>
    <w:rsid w:val="007441CC"/>
    <w:rsid w:val="007E10BB"/>
    <w:rsid w:val="00801C8E"/>
    <w:rsid w:val="00830A28"/>
    <w:rsid w:val="00905353"/>
    <w:rsid w:val="00957FE1"/>
    <w:rsid w:val="00972C50"/>
    <w:rsid w:val="009842E4"/>
    <w:rsid w:val="009D0624"/>
    <w:rsid w:val="00A33273"/>
    <w:rsid w:val="00A505B1"/>
    <w:rsid w:val="00A65C42"/>
    <w:rsid w:val="00A774D8"/>
    <w:rsid w:val="00A81244"/>
    <w:rsid w:val="00AA70AB"/>
    <w:rsid w:val="00B050C9"/>
    <w:rsid w:val="00B06481"/>
    <w:rsid w:val="00B140DB"/>
    <w:rsid w:val="00B1509B"/>
    <w:rsid w:val="00BA2E46"/>
    <w:rsid w:val="00C02721"/>
    <w:rsid w:val="00C1739E"/>
    <w:rsid w:val="00C25225"/>
    <w:rsid w:val="00C4241B"/>
    <w:rsid w:val="00C55882"/>
    <w:rsid w:val="00CD0110"/>
    <w:rsid w:val="00CD0550"/>
    <w:rsid w:val="00D63856"/>
    <w:rsid w:val="00E00C0C"/>
    <w:rsid w:val="00E25700"/>
    <w:rsid w:val="00E446C0"/>
    <w:rsid w:val="00E4663F"/>
    <w:rsid w:val="00E774C2"/>
    <w:rsid w:val="00EA7A9C"/>
    <w:rsid w:val="00EE6D84"/>
    <w:rsid w:val="00F155E6"/>
    <w:rsid w:val="00F1660C"/>
    <w:rsid w:val="00F645EA"/>
    <w:rsid w:val="00FA0520"/>
    <w:rsid w:val="00FA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ADDE7"/>
  <w15:chartTrackingRefBased/>
  <w15:docId w15:val="{DEC7F8A0-80F9-42DD-9270-D6401E98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6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0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A7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link w:val="BodyChar"/>
    <w:rsid w:val="00AA70AB"/>
    <w:pPr>
      <w:spacing w:after="140" w:line="288" w:lineRule="auto"/>
      <w:jc w:val="both"/>
    </w:pPr>
    <w:rPr>
      <w:rFonts w:ascii="Arial" w:eastAsia="Times New Roman" w:hAnsi="Arial" w:cs="Times New Roman"/>
      <w:kern w:val="20"/>
      <w:sz w:val="20"/>
      <w:szCs w:val="24"/>
      <w:lang w:eastAsia="en-GB"/>
    </w:rPr>
  </w:style>
  <w:style w:type="character" w:customStyle="1" w:styleId="BodyChar">
    <w:name w:val="Body Char"/>
    <w:link w:val="Body"/>
    <w:locked/>
    <w:rsid w:val="00AA70AB"/>
    <w:rPr>
      <w:rFonts w:ascii="Arial" w:eastAsia="Times New Roman" w:hAnsi="Arial" w:cs="Times New Roman"/>
      <w:kern w:val="20"/>
      <w:sz w:val="20"/>
      <w:szCs w:val="24"/>
      <w:lang w:eastAsia="en-GB"/>
    </w:rPr>
  </w:style>
  <w:style w:type="paragraph" w:styleId="Paragraphedeliste">
    <w:name w:val="List Paragraph"/>
    <w:basedOn w:val="Normal"/>
    <w:link w:val="ParagraphedelisteCar"/>
    <w:uiPriority w:val="34"/>
    <w:qFormat/>
    <w:rsid w:val="00AA70AB"/>
    <w:pPr>
      <w:ind w:left="720"/>
      <w:contextualSpacing/>
    </w:pPr>
  </w:style>
  <w:style w:type="paragraph" w:customStyle="1" w:styleId="ParagrapheList">
    <w:name w:val="Paragraphe List"/>
    <w:basedOn w:val="Paragraphedeliste"/>
    <w:rsid w:val="00AA70AB"/>
    <w:pPr>
      <w:numPr>
        <w:numId w:val="1"/>
      </w:numPr>
      <w:jc w:val="both"/>
    </w:pPr>
    <w:rPr>
      <w:rFonts w:ascii="Garamond" w:hAnsi="Garamond"/>
    </w:rPr>
  </w:style>
  <w:style w:type="paragraph" w:customStyle="1" w:styleId="Paragraphenormal">
    <w:name w:val="Paragraphe normal"/>
    <w:basedOn w:val="Paragraphedeliste"/>
    <w:link w:val="ParagraphenormalCar"/>
    <w:qFormat/>
    <w:rsid w:val="00AA70AB"/>
    <w:pPr>
      <w:jc w:val="both"/>
    </w:pPr>
    <w:rPr>
      <w:rFonts w:ascii="Garamond" w:hAnsi="Garamond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A70AB"/>
  </w:style>
  <w:style w:type="paragraph" w:customStyle="1" w:styleId="TiretList">
    <w:name w:val="Tiret List"/>
    <w:basedOn w:val="Paragraphedeliste"/>
    <w:link w:val="TiretListCar"/>
    <w:qFormat/>
    <w:rsid w:val="00AA70AB"/>
    <w:pPr>
      <w:numPr>
        <w:numId w:val="2"/>
      </w:numPr>
      <w:jc w:val="both"/>
    </w:pPr>
    <w:rPr>
      <w:rFonts w:ascii="Garamond" w:hAnsi="Garamond"/>
    </w:rPr>
  </w:style>
  <w:style w:type="character" w:customStyle="1" w:styleId="ParagraphenormalCar">
    <w:name w:val="Paragraphe normal Car"/>
    <w:basedOn w:val="ParagraphedelisteCar"/>
    <w:link w:val="Paragraphenormal"/>
    <w:rsid w:val="00AA70AB"/>
    <w:rPr>
      <w:rFonts w:ascii="Garamond" w:hAnsi="Garamond"/>
    </w:rPr>
  </w:style>
  <w:style w:type="paragraph" w:customStyle="1" w:styleId="Paragraphedeliste1">
    <w:name w:val="Paragraphe de liste1"/>
    <w:basedOn w:val="ParagrapheList"/>
    <w:link w:val="ListParagraphCar"/>
    <w:qFormat/>
    <w:rsid w:val="00AA70AB"/>
  </w:style>
  <w:style w:type="character" w:customStyle="1" w:styleId="TiretListCar">
    <w:name w:val="Tiret List Car"/>
    <w:basedOn w:val="ParagraphedelisteCar"/>
    <w:link w:val="TiretList"/>
    <w:rsid w:val="00AA70AB"/>
    <w:rPr>
      <w:rFonts w:ascii="Garamond" w:hAnsi="Garamond"/>
    </w:rPr>
  </w:style>
  <w:style w:type="character" w:customStyle="1" w:styleId="ListParagraphCar">
    <w:name w:val="List Paragraph Car"/>
    <w:basedOn w:val="Policepardfaut"/>
    <w:link w:val="Paragraphedeliste1"/>
    <w:rsid w:val="00AA70AB"/>
    <w:rPr>
      <w:rFonts w:ascii="Garamond" w:hAnsi="Garamond"/>
    </w:rPr>
  </w:style>
  <w:style w:type="paragraph" w:styleId="Notedebasdepage">
    <w:name w:val="footnote text"/>
    <w:basedOn w:val="Normal"/>
    <w:link w:val="NotedebasdepageCar"/>
    <w:uiPriority w:val="26"/>
    <w:semiHidden/>
    <w:unhideWhenUsed/>
    <w:rsid w:val="00C5588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26"/>
    <w:semiHidden/>
    <w:rsid w:val="00C55882"/>
    <w:rPr>
      <w:sz w:val="20"/>
      <w:szCs w:val="20"/>
    </w:rPr>
  </w:style>
  <w:style w:type="character" w:styleId="Appelnotedebasdep">
    <w:name w:val="footnote reference"/>
    <w:basedOn w:val="Policepardfaut"/>
    <w:uiPriority w:val="25"/>
    <w:unhideWhenUsed/>
    <w:rsid w:val="00C5588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66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6404"/>
  </w:style>
  <w:style w:type="paragraph" w:styleId="Pieddepage">
    <w:name w:val="footer"/>
    <w:basedOn w:val="Normal"/>
    <w:link w:val="PieddepageCar"/>
    <w:uiPriority w:val="99"/>
    <w:unhideWhenUsed/>
    <w:rsid w:val="00266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6404"/>
  </w:style>
  <w:style w:type="paragraph" w:styleId="Sansinterligne">
    <w:name w:val="No Spacing"/>
    <w:link w:val="SansinterligneCar"/>
    <w:uiPriority w:val="1"/>
    <w:qFormat/>
    <w:rsid w:val="00801C8E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01C8E"/>
    <w:rPr>
      <w:rFonts w:eastAsiaTheme="minorEastAsia"/>
      <w:lang w:eastAsia="fr-FR"/>
    </w:rPr>
  </w:style>
  <w:style w:type="paragraph" w:customStyle="1" w:styleId="loose">
    <w:name w:val="loose"/>
    <w:basedOn w:val="Normal"/>
    <w:rsid w:val="00E0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semiHidden/>
    <w:unhideWhenUsed/>
    <w:rsid w:val="00495E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793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Bougartchev Moyne &amp; Associés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Nima HAERI</dc:creator>
  <cp:keywords/>
  <dc:description/>
  <cp:lastModifiedBy>Nima HAERI</cp:lastModifiedBy>
  <cp:revision>33</cp:revision>
  <dcterms:created xsi:type="dcterms:W3CDTF">2018-10-21T12:54:00Z</dcterms:created>
  <dcterms:modified xsi:type="dcterms:W3CDTF">2018-12-19T15:06:00Z</dcterms:modified>
</cp:coreProperties>
</file>