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A70AB" w:rsidRPr="00830A28" w:rsidTr="006668B6">
        <w:tc>
          <w:tcPr>
            <w:tcW w:w="4531" w:type="dxa"/>
          </w:tcPr>
          <w:p w:rsidR="00AA70AB" w:rsidRPr="00830A28" w:rsidRDefault="00AA70AB" w:rsidP="006668B6">
            <w:pPr>
              <w:rPr>
                <w:rFonts w:ascii="Garamond" w:hAnsi="Garamond"/>
              </w:rPr>
            </w:pPr>
            <w:r w:rsidRPr="00830A28">
              <w:rPr>
                <w:rFonts w:ascii="Garamond" w:hAnsi="Garamond"/>
              </w:rPr>
              <w:t xml:space="preserve">N° du Parquet : </w:t>
            </w:r>
          </w:p>
          <w:p w:rsidR="00AA70AB" w:rsidRPr="00830A28" w:rsidRDefault="00AA70AB" w:rsidP="005131AA">
            <w:pPr>
              <w:rPr>
                <w:rFonts w:ascii="Garamond" w:hAnsi="Garamond"/>
              </w:rPr>
            </w:pPr>
            <w:r w:rsidRPr="00830A28">
              <w:rPr>
                <w:rFonts w:ascii="Garamond" w:hAnsi="Garamond"/>
              </w:rPr>
              <w:t xml:space="preserve">Audience du </w:t>
            </w:r>
          </w:p>
        </w:tc>
        <w:tc>
          <w:tcPr>
            <w:tcW w:w="4531" w:type="dxa"/>
          </w:tcPr>
          <w:p w:rsidR="00AA70AB" w:rsidRPr="00830A28" w:rsidRDefault="00C57ED7" w:rsidP="00A774D8">
            <w:pPr>
              <w:jc w:val="right"/>
              <w:rPr>
                <w:rFonts w:ascii="Garamond" w:hAnsi="Garamond"/>
              </w:rPr>
            </w:pPr>
            <w:r w:rsidRPr="00830A28">
              <w:rPr>
                <w:rFonts w:ascii="Garamond" w:hAnsi="Garamond"/>
              </w:rPr>
              <w:t>À</w:t>
            </w:r>
            <w:r w:rsidR="00AA70AB" w:rsidRPr="00830A28">
              <w:rPr>
                <w:rFonts w:ascii="Garamond" w:hAnsi="Garamond"/>
              </w:rPr>
              <w:t xml:space="preserve"> Madame et Messieurs les </w:t>
            </w:r>
            <w:r w:rsidR="00AA70AB" w:rsidRPr="00830A28">
              <w:rPr>
                <w:rFonts w:ascii="Garamond" w:hAnsi="Garamond"/>
              </w:rPr>
              <w:br/>
              <w:t xml:space="preserve">Président et Assesseurs composant </w:t>
            </w:r>
            <w:r w:rsidR="00AA70AB" w:rsidRPr="00830A28">
              <w:rPr>
                <w:rFonts w:ascii="Garamond" w:hAnsi="Garamond"/>
              </w:rPr>
              <w:br/>
              <w:t>la 23</w:t>
            </w:r>
            <w:r w:rsidR="00AA70AB" w:rsidRPr="00830A28">
              <w:rPr>
                <w:rFonts w:ascii="Garamond" w:hAnsi="Garamond"/>
                <w:vertAlign w:val="superscript"/>
              </w:rPr>
              <w:t>e</w:t>
            </w:r>
            <w:r w:rsidR="00AA70AB" w:rsidRPr="00830A28">
              <w:rPr>
                <w:rFonts w:ascii="Garamond" w:hAnsi="Garamond"/>
              </w:rPr>
              <w:t xml:space="preserve"> Chambr</w:t>
            </w:r>
            <w:bookmarkStart w:id="0" w:name="_GoBack"/>
            <w:bookmarkEnd w:id="0"/>
            <w:r w:rsidR="00AA70AB" w:rsidRPr="00830A28">
              <w:rPr>
                <w:rFonts w:ascii="Garamond" w:hAnsi="Garamond"/>
              </w:rPr>
              <w:t xml:space="preserve">e correctionnelle </w:t>
            </w:r>
            <w:r w:rsidR="00AA70AB" w:rsidRPr="00830A28">
              <w:rPr>
                <w:rFonts w:ascii="Garamond" w:hAnsi="Garamond"/>
              </w:rPr>
              <w:br/>
              <w:t>du Tribunal de grande instance de Paris</w:t>
            </w:r>
          </w:p>
        </w:tc>
      </w:tr>
    </w:tbl>
    <w:p w:rsidR="00AA70AB" w:rsidRPr="00830A28" w:rsidRDefault="00AA70AB" w:rsidP="00AA70AB">
      <w:pPr>
        <w:rPr>
          <w:rFonts w:ascii="Garamond" w:hAnsi="Garamond"/>
        </w:rPr>
      </w:pPr>
    </w:p>
    <w:p w:rsidR="00AA70AB" w:rsidRPr="00830A28" w:rsidRDefault="00AA70AB" w:rsidP="00AA70AB">
      <w:pPr>
        <w:rPr>
          <w:rFonts w:ascii="Garamond" w:hAnsi="Garamond"/>
        </w:rPr>
      </w:pPr>
    </w:p>
    <w:p w:rsidR="00AA70AB" w:rsidRPr="00830A28" w:rsidRDefault="00AA70AB" w:rsidP="00AA70AB">
      <w:pPr>
        <w:rPr>
          <w:rFonts w:ascii="Garamond" w:hAnsi="Garamond"/>
        </w:rPr>
      </w:pPr>
    </w:p>
    <w:p w:rsidR="00AA70AB" w:rsidRPr="00830A28" w:rsidRDefault="00AA70AB" w:rsidP="00AA70AB">
      <w:pPr>
        <w:jc w:val="center"/>
        <w:rPr>
          <w:rFonts w:ascii="Garamond" w:hAnsi="Garamond"/>
          <w:b/>
          <w:smallCaps/>
          <w:sz w:val="32"/>
          <w:szCs w:val="32"/>
        </w:rPr>
      </w:pPr>
      <w:r w:rsidRPr="00830A28">
        <w:rPr>
          <w:rFonts w:ascii="Garamond" w:hAnsi="Garamond"/>
          <w:b/>
          <w:smallCaps/>
          <w:sz w:val="32"/>
          <w:szCs w:val="32"/>
        </w:rPr>
        <w:t>Conclusions in limine litis</w:t>
      </w:r>
    </w:p>
    <w:p w:rsidR="00AA70AB" w:rsidRPr="00830A28" w:rsidRDefault="00AA70AB" w:rsidP="00AA70AB">
      <w:pPr>
        <w:rPr>
          <w:rFonts w:ascii="Garamond" w:hAnsi="Garamond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134" w:hanging="1134"/>
        <w:rPr>
          <w:rFonts w:ascii="Garamond" w:hAnsi="Garamond"/>
          <w:sz w:val="22"/>
          <w:szCs w:val="22"/>
        </w:rPr>
      </w:pPr>
      <w:r w:rsidRPr="00830A28">
        <w:rPr>
          <w:rFonts w:ascii="Garamond" w:hAnsi="Garamond"/>
          <w:b/>
          <w:sz w:val="22"/>
          <w:szCs w:val="22"/>
          <w:u w:val="single"/>
        </w:rPr>
        <w:t>POUR</w:t>
      </w:r>
      <w:r w:rsidRPr="00830A28">
        <w:rPr>
          <w:rFonts w:ascii="Garamond" w:hAnsi="Garamond"/>
          <w:b/>
          <w:sz w:val="22"/>
          <w:szCs w:val="22"/>
        </w:rPr>
        <w:t> :</w:t>
      </w:r>
      <w:r w:rsidRPr="00830A28">
        <w:rPr>
          <w:rFonts w:ascii="Garamond" w:hAnsi="Garamond"/>
          <w:sz w:val="22"/>
          <w:szCs w:val="22"/>
        </w:rPr>
        <w:t xml:space="preserve"> </w:t>
      </w:r>
      <w:r w:rsidRPr="00830A28">
        <w:rPr>
          <w:rFonts w:ascii="Garamond" w:hAnsi="Garamond"/>
          <w:sz w:val="22"/>
          <w:szCs w:val="22"/>
        </w:rPr>
        <w:tab/>
      </w:r>
      <w:r w:rsidR="00801C8E" w:rsidRPr="00830A28">
        <w:rPr>
          <w:rFonts w:ascii="Garamond" w:hAnsi="Garamond"/>
          <w:b/>
          <w:sz w:val="22"/>
          <w:szCs w:val="22"/>
        </w:rPr>
        <w:t xml:space="preserve">                                  </w:t>
      </w:r>
      <w:r w:rsidRPr="00830A28">
        <w:rPr>
          <w:rFonts w:ascii="Garamond" w:hAnsi="Garamond"/>
          <w:sz w:val="22"/>
          <w:szCs w:val="22"/>
        </w:rPr>
        <w:t>, né</w:t>
      </w:r>
      <w:r w:rsidR="00801C8E" w:rsidRPr="00830A28">
        <w:rPr>
          <w:rFonts w:ascii="Garamond" w:hAnsi="Garamond"/>
          <w:sz w:val="22"/>
          <w:szCs w:val="22"/>
        </w:rPr>
        <w:t xml:space="preserve">  </w:t>
      </w:r>
      <w:r w:rsidRPr="00830A28">
        <w:rPr>
          <w:rFonts w:ascii="Garamond" w:hAnsi="Garamond"/>
          <w:sz w:val="22"/>
          <w:szCs w:val="22"/>
        </w:rPr>
        <w:t xml:space="preserve">le </w:t>
      </w:r>
      <w:r w:rsidR="00801C8E" w:rsidRPr="00830A28">
        <w:rPr>
          <w:rFonts w:ascii="Garamond" w:hAnsi="Garamond"/>
          <w:sz w:val="22"/>
          <w:szCs w:val="22"/>
        </w:rPr>
        <w:t xml:space="preserve">                          </w:t>
      </w:r>
      <w:r w:rsidRPr="00830A28">
        <w:rPr>
          <w:rFonts w:ascii="Garamond" w:hAnsi="Garamond"/>
          <w:sz w:val="22"/>
          <w:szCs w:val="22"/>
        </w:rPr>
        <w:t xml:space="preserve">à </w:t>
      </w:r>
      <w:r w:rsidR="00801C8E" w:rsidRPr="00830A28">
        <w:rPr>
          <w:rFonts w:ascii="Garamond" w:hAnsi="Garamond"/>
          <w:sz w:val="22"/>
          <w:szCs w:val="22"/>
        </w:rPr>
        <w:t xml:space="preserve">                              </w:t>
      </w:r>
    </w:p>
    <w:p w:rsidR="00AA70AB" w:rsidRPr="00830A28" w:rsidRDefault="00AA70AB" w:rsidP="00AA70AB">
      <w:pPr>
        <w:pStyle w:val="Body"/>
        <w:tabs>
          <w:tab w:val="left" w:pos="1134"/>
        </w:tabs>
        <w:ind w:left="1134" w:hanging="1260"/>
        <w:rPr>
          <w:rFonts w:ascii="Garamond" w:hAnsi="Garamond"/>
          <w:sz w:val="22"/>
          <w:szCs w:val="22"/>
        </w:rPr>
      </w:pPr>
      <w:r w:rsidRPr="00830A28">
        <w:rPr>
          <w:rFonts w:ascii="Garamond" w:hAnsi="Garamond"/>
          <w:sz w:val="22"/>
          <w:szCs w:val="22"/>
        </w:rPr>
        <w:tab/>
      </w:r>
    </w:p>
    <w:p w:rsidR="00AA70AB" w:rsidRPr="00830A28" w:rsidRDefault="00AA70AB" w:rsidP="00AA70AB">
      <w:pPr>
        <w:pStyle w:val="Body"/>
        <w:tabs>
          <w:tab w:val="left" w:pos="1134"/>
        </w:tabs>
        <w:ind w:left="1134" w:hanging="1260"/>
        <w:rPr>
          <w:rFonts w:ascii="Garamond" w:hAnsi="Garamond"/>
          <w:sz w:val="22"/>
          <w:szCs w:val="22"/>
        </w:rPr>
      </w:pPr>
    </w:p>
    <w:p w:rsidR="00AA70AB" w:rsidRPr="00830A28" w:rsidRDefault="00AA70AB" w:rsidP="00AA70AB">
      <w:pPr>
        <w:pStyle w:val="Body"/>
        <w:tabs>
          <w:tab w:val="left" w:pos="1134"/>
        </w:tabs>
        <w:ind w:left="1968" w:hanging="1260"/>
        <w:jc w:val="right"/>
        <w:rPr>
          <w:rFonts w:ascii="Garamond" w:hAnsi="Garamond"/>
          <w:sz w:val="22"/>
          <w:szCs w:val="22"/>
        </w:rPr>
      </w:pPr>
      <w:r w:rsidRPr="00830A28">
        <w:rPr>
          <w:rFonts w:ascii="Garamond" w:hAnsi="Garamond"/>
          <w:sz w:val="22"/>
          <w:szCs w:val="22"/>
        </w:rPr>
        <w:tab/>
      </w:r>
    </w:p>
    <w:p w:rsidR="00AA70AB" w:rsidRPr="00830A28" w:rsidRDefault="00AA70AB" w:rsidP="00AA70AB">
      <w:pPr>
        <w:pStyle w:val="Body"/>
        <w:tabs>
          <w:tab w:val="left" w:pos="1134"/>
        </w:tabs>
        <w:ind w:left="1968" w:hanging="1260"/>
        <w:jc w:val="right"/>
        <w:rPr>
          <w:rFonts w:ascii="Garamond" w:hAnsi="Garamond"/>
          <w:sz w:val="22"/>
          <w:szCs w:val="22"/>
        </w:rPr>
      </w:pPr>
    </w:p>
    <w:p w:rsidR="00AA70AB" w:rsidRPr="00830A28" w:rsidRDefault="00AA70AB" w:rsidP="00AA70AB">
      <w:pPr>
        <w:pStyle w:val="Body"/>
        <w:tabs>
          <w:tab w:val="left" w:pos="1134"/>
        </w:tabs>
        <w:ind w:left="1968" w:hanging="1260"/>
        <w:jc w:val="right"/>
        <w:rPr>
          <w:rFonts w:ascii="Garamond" w:hAnsi="Garamond"/>
          <w:sz w:val="22"/>
          <w:szCs w:val="22"/>
        </w:rPr>
      </w:pPr>
      <w:r w:rsidRPr="00830A28">
        <w:rPr>
          <w:rFonts w:ascii="Garamond" w:hAnsi="Garamond"/>
          <w:sz w:val="22"/>
          <w:szCs w:val="22"/>
        </w:rPr>
        <w:t>Ci-après, le « </w:t>
      </w:r>
      <w:r w:rsidRPr="00830A28">
        <w:rPr>
          <w:rFonts w:ascii="Garamond" w:hAnsi="Garamond"/>
          <w:b/>
          <w:sz w:val="22"/>
          <w:szCs w:val="22"/>
        </w:rPr>
        <w:t>Concluant</w:t>
      </w:r>
      <w:r w:rsidRPr="00830A28">
        <w:rPr>
          <w:rFonts w:ascii="Garamond" w:hAnsi="Garamond"/>
          <w:sz w:val="22"/>
          <w:szCs w:val="22"/>
        </w:rPr>
        <w:t> »,</w:t>
      </w:r>
    </w:p>
    <w:p w:rsidR="00AA70AB" w:rsidRPr="00830A28" w:rsidRDefault="00AA70AB" w:rsidP="00AA70AB">
      <w:pPr>
        <w:pStyle w:val="Body"/>
        <w:tabs>
          <w:tab w:val="left" w:pos="1134"/>
        </w:tabs>
        <w:ind w:left="1134" w:hanging="1260"/>
        <w:rPr>
          <w:rFonts w:ascii="Garamond" w:hAnsi="Garamond"/>
          <w:i/>
          <w:sz w:val="22"/>
          <w:szCs w:val="22"/>
        </w:rPr>
      </w:pPr>
      <w:r w:rsidRPr="00830A28">
        <w:rPr>
          <w:rFonts w:ascii="Garamond" w:hAnsi="Garamond"/>
          <w:sz w:val="22"/>
          <w:szCs w:val="22"/>
        </w:rPr>
        <w:tab/>
      </w:r>
    </w:p>
    <w:p w:rsidR="00AA70AB" w:rsidRPr="00830A28" w:rsidRDefault="00AA70AB" w:rsidP="00AA70AB">
      <w:pPr>
        <w:pStyle w:val="Body"/>
        <w:tabs>
          <w:tab w:val="left" w:pos="1260"/>
        </w:tabs>
        <w:spacing w:after="0"/>
        <w:ind w:left="3958"/>
        <w:rPr>
          <w:rFonts w:ascii="Garamond" w:hAnsi="Garamond"/>
          <w:b/>
          <w:sz w:val="22"/>
          <w:szCs w:val="22"/>
        </w:rPr>
      </w:pPr>
      <w:r w:rsidRPr="00830A28">
        <w:rPr>
          <w:rFonts w:ascii="Garamond" w:hAnsi="Garamond"/>
          <w:b/>
          <w:sz w:val="22"/>
          <w:szCs w:val="22"/>
          <w:u w:val="single"/>
        </w:rPr>
        <w:t>Ayant pour Avocat</w:t>
      </w:r>
      <w:r w:rsidRPr="00830A28">
        <w:rPr>
          <w:rFonts w:ascii="Garamond" w:hAnsi="Garamond"/>
          <w:b/>
          <w:sz w:val="22"/>
          <w:szCs w:val="22"/>
        </w:rPr>
        <w:t> :</w:t>
      </w:r>
    </w:p>
    <w:p w:rsidR="00AA70AB" w:rsidRPr="00830A28" w:rsidRDefault="00AA70AB" w:rsidP="00AA70AB">
      <w:pPr>
        <w:pStyle w:val="Body"/>
        <w:tabs>
          <w:tab w:val="left" w:pos="1260"/>
        </w:tabs>
        <w:spacing w:after="0"/>
        <w:ind w:left="3958"/>
        <w:rPr>
          <w:rFonts w:ascii="Garamond" w:hAnsi="Garamond"/>
          <w:b/>
          <w:sz w:val="22"/>
          <w:szCs w:val="22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spacing w:after="0"/>
        <w:ind w:left="3958"/>
        <w:rPr>
          <w:rFonts w:ascii="Garamond" w:hAnsi="Garamond"/>
          <w:b/>
          <w:sz w:val="22"/>
          <w:szCs w:val="22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  <w:b/>
          <w:sz w:val="22"/>
          <w:szCs w:val="22"/>
          <w:u w:val="single"/>
        </w:rPr>
      </w:pPr>
    </w:p>
    <w:p w:rsidR="00AA70AB" w:rsidRPr="00830A28" w:rsidRDefault="00AA70AB" w:rsidP="00AA70AB">
      <w:pPr>
        <w:pStyle w:val="Body"/>
        <w:tabs>
          <w:tab w:val="left" w:pos="1260"/>
        </w:tabs>
        <w:ind w:left="1260" w:hanging="1260"/>
        <w:rPr>
          <w:rFonts w:ascii="Garamond" w:hAnsi="Garamond"/>
        </w:rPr>
      </w:pPr>
      <w:r w:rsidRPr="00830A28">
        <w:rPr>
          <w:rFonts w:ascii="Garamond" w:hAnsi="Garamond"/>
          <w:b/>
          <w:sz w:val="22"/>
          <w:szCs w:val="22"/>
          <w:u w:val="single"/>
        </w:rPr>
        <w:t>CONTRE</w:t>
      </w:r>
      <w:r w:rsidRPr="00830A28">
        <w:rPr>
          <w:rFonts w:ascii="Garamond" w:hAnsi="Garamond"/>
          <w:b/>
          <w:sz w:val="22"/>
          <w:szCs w:val="22"/>
        </w:rPr>
        <w:t> :</w:t>
      </w:r>
      <w:r w:rsidRPr="00830A28">
        <w:rPr>
          <w:rFonts w:ascii="Garamond" w:hAnsi="Garamond"/>
          <w:sz w:val="22"/>
          <w:szCs w:val="22"/>
        </w:rPr>
        <w:t xml:space="preserve"> </w:t>
      </w:r>
      <w:r w:rsidRPr="00830A28">
        <w:rPr>
          <w:rFonts w:ascii="Garamond" w:hAnsi="Garamond"/>
          <w:sz w:val="22"/>
          <w:szCs w:val="22"/>
        </w:rPr>
        <w:tab/>
      </w:r>
      <w:r w:rsidRPr="00830A28">
        <w:rPr>
          <w:rFonts w:ascii="Garamond" w:hAnsi="Garamond"/>
          <w:b/>
          <w:bCs/>
          <w:sz w:val="22"/>
          <w:szCs w:val="22"/>
        </w:rPr>
        <w:t>le Ministère public</w:t>
      </w:r>
      <w:r w:rsidRPr="00830A28">
        <w:rPr>
          <w:rFonts w:ascii="Garamond" w:hAnsi="Garamond"/>
          <w:b/>
          <w:sz w:val="22"/>
          <w:szCs w:val="22"/>
        </w:rPr>
        <w:t xml:space="preserve"> </w:t>
      </w:r>
      <w:r w:rsidRPr="00830A28">
        <w:rPr>
          <w:rFonts w:ascii="Garamond" w:hAnsi="Garamond"/>
        </w:rPr>
        <w:br w:type="page"/>
      </w:r>
    </w:p>
    <w:p w:rsidR="00AA70AB" w:rsidRPr="00830A28" w:rsidRDefault="00AA70AB" w:rsidP="00AA70AB">
      <w:pPr>
        <w:jc w:val="center"/>
        <w:rPr>
          <w:rFonts w:ascii="Garamond" w:hAnsi="Garamond"/>
          <w:b/>
          <w:smallCaps/>
          <w:sz w:val="28"/>
          <w:szCs w:val="28"/>
        </w:rPr>
      </w:pPr>
      <w:r w:rsidRPr="00830A28">
        <w:rPr>
          <w:rFonts w:ascii="Garamond" w:hAnsi="Garamond"/>
          <w:b/>
          <w:smallCaps/>
          <w:sz w:val="28"/>
          <w:szCs w:val="28"/>
        </w:rPr>
        <w:lastRenderedPageBreak/>
        <w:t xml:space="preserve">Plaise </w:t>
      </w:r>
      <w:r w:rsidR="00B75F3A">
        <w:rPr>
          <w:rFonts w:ascii="Garamond" w:hAnsi="Garamond"/>
          <w:b/>
          <w:smallCaps/>
          <w:sz w:val="28"/>
          <w:szCs w:val="28"/>
        </w:rPr>
        <w:t>a</w:t>
      </w:r>
      <w:r w:rsidRPr="00830A28">
        <w:rPr>
          <w:rFonts w:ascii="Garamond" w:hAnsi="Garamond"/>
          <w:b/>
          <w:smallCaps/>
          <w:sz w:val="28"/>
          <w:szCs w:val="28"/>
        </w:rPr>
        <w:t xml:space="preserve">u Tribunal </w:t>
      </w:r>
    </w:p>
    <w:p w:rsidR="00AA70AB" w:rsidRPr="00D24D98" w:rsidRDefault="00AA70AB" w:rsidP="00D24D98">
      <w:pPr>
        <w:spacing w:line="276" w:lineRule="auto"/>
        <w:rPr>
          <w:rFonts w:ascii="Garamond" w:hAnsi="Garamond"/>
          <w:sz w:val="23"/>
          <w:szCs w:val="23"/>
        </w:rPr>
      </w:pPr>
    </w:p>
    <w:p w:rsidR="00AA70AB" w:rsidRPr="00D24D98" w:rsidRDefault="00D24D98" w:rsidP="00D24D98">
      <w:pPr>
        <w:pStyle w:val="Paragraphedeliste1"/>
        <w:spacing w:line="276" w:lineRule="auto"/>
        <w:rPr>
          <w:sz w:val="23"/>
          <w:szCs w:val="23"/>
        </w:rPr>
      </w:pPr>
      <w:r w:rsidRPr="00D24D98">
        <w:rPr>
          <w:sz w:val="23"/>
          <w:szCs w:val="23"/>
        </w:rPr>
        <w:t xml:space="preserve">Le Concluant, renvoyé </w:t>
      </w:r>
      <w:r w:rsidR="00AA70AB" w:rsidRPr="00D24D98">
        <w:rPr>
          <w:sz w:val="23"/>
          <w:szCs w:val="23"/>
        </w:rPr>
        <w:t>devant la juridiction de céans pour des faits</w:t>
      </w:r>
      <w:r w:rsidR="000C7E06" w:rsidRPr="00D24D98">
        <w:rPr>
          <w:sz w:val="23"/>
          <w:szCs w:val="23"/>
        </w:rPr>
        <w:t xml:space="preserve"> de </w:t>
      </w:r>
      <w:r w:rsidR="00801C8E" w:rsidRPr="00D24D98">
        <w:rPr>
          <w:sz w:val="23"/>
          <w:szCs w:val="23"/>
        </w:rPr>
        <w:t xml:space="preserve">              </w:t>
      </w:r>
      <w:r w:rsidR="00C57ED7" w:rsidRPr="00D24D98">
        <w:rPr>
          <w:sz w:val="23"/>
          <w:szCs w:val="23"/>
        </w:rPr>
        <w:tab/>
      </w:r>
      <w:r w:rsidR="00C57ED7" w:rsidRPr="00D24D98">
        <w:rPr>
          <w:sz w:val="23"/>
          <w:szCs w:val="23"/>
        </w:rPr>
        <w:tab/>
      </w:r>
      <w:r w:rsidR="00C57ED7" w:rsidRPr="00D24D98">
        <w:rPr>
          <w:sz w:val="23"/>
          <w:szCs w:val="23"/>
        </w:rPr>
        <w:tab/>
      </w:r>
      <w:r w:rsidR="00C57ED7" w:rsidRPr="00D24D98">
        <w:rPr>
          <w:sz w:val="23"/>
          <w:szCs w:val="23"/>
        </w:rPr>
        <w:tab/>
      </w:r>
      <w:r w:rsidR="00C57ED7" w:rsidRPr="00D24D98">
        <w:rPr>
          <w:sz w:val="23"/>
          <w:szCs w:val="23"/>
        </w:rPr>
        <w:tab/>
      </w:r>
      <w:r w:rsidR="00C57ED7" w:rsidRPr="00D24D98">
        <w:rPr>
          <w:sz w:val="23"/>
          <w:szCs w:val="23"/>
        </w:rPr>
        <w:tab/>
      </w:r>
      <w:r w:rsidR="00801C8E" w:rsidRPr="00D24D98">
        <w:rPr>
          <w:sz w:val="23"/>
          <w:szCs w:val="23"/>
        </w:rPr>
        <w:t xml:space="preserve">   </w:t>
      </w:r>
      <w:r w:rsidR="00AA70AB" w:rsidRPr="00D24D98">
        <w:rPr>
          <w:sz w:val="23"/>
          <w:szCs w:val="23"/>
        </w:rPr>
        <w:t xml:space="preserve">, a </w:t>
      </w:r>
      <w:r w:rsidR="00B75F3A" w:rsidRPr="00D24D98">
        <w:rPr>
          <w:sz w:val="23"/>
          <w:szCs w:val="23"/>
        </w:rPr>
        <w:t xml:space="preserve">préalablement </w:t>
      </w:r>
      <w:r w:rsidR="00AA70AB" w:rsidRPr="00D24D98">
        <w:rPr>
          <w:sz w:val="23"/>
          <w:szCs w:val="23"/>
        </w:rPr>
        <w:t xml:space="preserve">été placé en garde à vue le </w:t>
      </w:r>
      <w:r w:rsidR="00A774D8" w:rsidRPr="00D24D98">
        <w:rPr>
          <w:sz w:val="23"/>
          <w:szCs w:val="23"/>
        </w:rPr>
        <w:t xml:space="preserve">                                   </w:t>
      </w:r>
    </w:p>
    <w:p w:rsidR="00C57ED7" w:rsidRPr="00D24D98" w:rsidRDefault="00C57ED7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C57ED7" w:rsidRPr="00D24D98" w:rsidRDefault="00C57ED7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C57ED7" w:rsidRPr="00D24D98" w:rsidRDefault="00C57ED7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AA70AB" w:rsidRPr="00D24D98" w:rsidRDefault="001126B0" w:rsidP="00D24D98">
      <w:pPr>
        <w:pStyle w:val="Paragraphenormal"/>
        <w:spacing w:line="276" w:lineRule="auto"/>
        <w:rPr>
          <w:sz w:val="23"/>
          <w:szCs w:val="23"/>
        </w:rPr>
      </w:pPr>
      <w:r w:rsidRPr="00D24D98">
        <w:rPr>
          <w:sz w:val="23"/>
          <w:szCs w:val="23"/>
        </w:rPr>
        <w:t xml:space="preserve">Il reste que </w:t>
      </w:r>
      <w:r w:rsidR="00C57ED7" w:rsidRPr="00D24D98">
        <w:rPr>
          <w:sz w:val="23"/>
          <w:szCs w:val="23"/>
        </w:rPr>
        <w:t>son</w:t>
      </w:r>
      <w:r w:rsidR="00FA3338" w:rsidRPr="00D24D98">
        <w:rPr>
          <w:sz w:val="23"/>
          <w:szCs w:val="23"/>
        </w:rPr>
        <w:t xml:space="preserve"> droit à un examen médical effectif n’a pas été respecté lors de cette mesure.</w:t>
      </w:r>
    </w:p>
    <w:p w:rsidR="000C7E06" w:rsidRPr="00D24D98" w:rsidRDefault="000C7E06" w:rsidP="00D24D98">
      <w:pPr>
        <w:pStyle w:val="Paragraphenormal"/>
        <w:spacing w:line="276" w:lineRule="auto"/>
        <w:rPr>
          <w:sz w:val="23"/>
          <w:szCs w:val="23"/>
        </w:rPr>
      </w:pPr>
    </w:p>
    <w:p w:rsidR="000C7E06" w:rsidRPr="00D24D98" w:rsidRDefault="000C7E06" w:rsidP="00D24D98">
      <w:pPr>
        <w:pStyle w:val="Paragraphenormal"/>
        <w:spacing w:line="276" w:lineRule="auto"/>
        <w:rPr>
          <w:sz w:val="23"/>
          <w:szCs w:val="23"/>
        </w:rPr>
      </w:pPr>
    </w:p>
    <w:p w:rsidR="000C7E06" w:rsidRPr="00D24D98" w:rsidRDefault="000C7E06" w:rsidP="00D24D98">
      <w:pPr>
        <w:pStyle w:val="Paragraphenormal"/>
        <w:numPr>
          <w:ilvl w:val="0"/>
          <w:numId w:val="7"/>
        </w:numPr>
        <w:spacing w:line="276" w:lineRule="auto"/>
        <w:rPr>
          <w:b/>
          <w:sz w:val="23"/>
          <w:szCs w:val="23"/>
          <w:u w:val="single"/>
        </w:rPr>
      </w:pPr>
      <w:r w:rsidRPr="00D24D98">
        <w:rPr>
          <w:b/>
          <w:sz w:val="23"/>
          <w:szCs w:val="23"/>
          <w:u w:val="single"/>
        </w:rPr>
        <w:t>Rappel des faits et de la procédure</w:t>
      </w:r>
    </w:p>
    <w:p w:rsidR="000C7E06" w:rsidRPr="00D24D98" w:rsidRDefault="000C7E06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0C7E06" w:rsidRPr="00D24D98" w:rsidRDefault="000C7E06" w:rsidP="00D24D98">
      <w:pPr>
        <w:pStyle w:val="Paragraphedeliste1"/>
        <w:spacing w:line="276" w:lineRule="auto"/>
        <w:rPr>
          <w:sz w:val="23"/>
          <w:szCs w:val="23"/>
        </w:rPr>
      </w:pPr>
      <w:r w:rsidRPr="00D24D98">
        <w:rPr>
          <w:sz w:val="23"/>
          <w:szCs w:val="23"/>
        </w:rPr>
        <w:t xml:space="preserve"> </w:t>
      </w:r>
    </w:p>
    <w:p w:rsidR="000C7E06" w:rsidRPr="00D24D98" w:rsidRDefault="000C7E06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F645EA" w:rsidRPr="00D24D98" w:rsidRDefault="00F645EA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813A2C" w:rsidRPr="00D24D98" w:rsidRDefault="00813A2C" w:rsidP="00D24D98">
      <w:pPr>
        <w:spacing w:line="276" w:lineRule="auto"/>
        <w:rPr>
          <w:rFonts w:ascii="Garamond" w:hAnsi="Garamond"/>
          <w:b/>
          <w:sz w:val="23"/>
          <w:szCs w:val="23"/>
          <w:u w:val="single"/>
        </w:rPr>
      </w:pPr>
      <w:r w:rsidRPr="00D24D98">
        <w:rPr>
          <w:b/>
          <w:sz w:val="23"/>
          <w:szCs w:val="23"/>
          <w:u w:val="single"/>
        </w:rPr>
        <w:br w:type="page"/>
      </w:r>
    </w:p>
    <w:p w:rsidR="00F645EA" w:rsidRPr="00D24D98" w:rsidRDefault="00F645EA" w:rsidP="00D24D98">
      <w:pPr>
        <w:pStyle w:val="Paragraphenormal"/>
        <w:numPr>
          <w:ilvl w:val="0"/>
          <w:numId w:val="7"/>
        </w:numPr>
        <w:spacing w:line="276" w:lineRule="auto"/>
        <w:rPr>
          <w:b/>
          <w:sz w:val="23"/>
          <w:szCs w:val="23"/>
          <w:u w:val="single"/>
        </w:rPr>
      </w:pPr>
      <w:r w:rsidRPr="00D24D98">
        <w:rPr>
          <w:b/>
          <w:sz w:val="23"/>
          <w:szCs w:val="23"/>
          <w:u w:val="single"/>
        </w:rPr>
        <w:lastRenderedPageBreak/>
        <w:t>Discussion</w:t>
      </w:r>
    </w:p>
    <w:p w:rsidR="00F645EA" w:rsidRPr="00D24D98" w:rsidRDefault="00F645EA" w:rsidP="00D24D98">
      <w:pPr>
        <w:pStyle w:val="Paragraphenormal"/>
        <w:spacing w:line="276" w:lineRule="auto"/>
        <w:ind w:left="1440"/>
        <w:rPr>
          <w:b/>
          <w:sz w:val="23"/>
          <w:szCs w:val="23"/>
          <w:u w:val="single"/>
        </w:rPr>
      </w:pPr>
    </w:p>
    <w:p w:rsidR="00F645EA" w:rsidRPr="00D24D98" w:rsidRDefault="00F645EA" w:rsidP="00D24D98">
      <w:pPr>
        <w:pStyle w:val="Paragraphenormal"/>
        <w:numPr>
          <w:ilvl w:val="1"/>
          <w:numId w:val="7"/>
        </w:numPr>
        <w:spacing w:line="276" w:lineRule="auto"/>
        <w:rPr>
          <w:b/>
          <w:sz w:val="23"/>
          <w:szCs w:val="23"/>
        </w:rPr>
      </w:pPr>
      <w:r w:rsidRPr="00D24D98">
        <w:rPr>
          <w:b/>
          <w:sz w:val="23"/>
          <w:szCs w:val="23"/>
        </w:rPr>
        <w:t xml:space="preserve">Sur </w:t>
      </w:r>
      <w:r w:rsidR="00813A2C" w:rsidRPr="00D24D98">
        <w:rPr>
          <w:b/>
          <w:sz w:val="23"/>
          <w:szCs w:val="23"/>
        </w:rPr>
        <w:t>le droit à un examen médical</w:t>
      </w:r>
    </w:p>
    <w:p w:rsidR="0031716A" w:rsidRPr="00D24D98" w:rsidRDefault="0031716A" w:rsidP="00D24D98">
      <w:pPr>
        <w:pStyle w:val="Paragraphedeliste1"/>
        <w:spacing w:line="276" w:lineRule="auto"/>
        <w:rPr>
          <w:sz w:val="23"/>
          <w:szCs w:val="23"/>
        </w:rPr>
      </w:pPr>
      <w:r w:rsidRPr="00D24D98">
        <w:rPr>
          <w:sz w:val="23"/>
          <w:szCs w:val="23"/>
        </w:rPr>
        <w:t>L’article 63-3 du Code de procédure pénale (« </w:t>
      </w:r>
      <w:r w:rsidRPr="00D24D98">
        <w:rPr>
          <w:b/>
          <w:sz w:val="23"/>
          <w:szCs w:val="23"/>
        </w:rPr>
        <w:t>CPP</w:t>
      </w:r>
      <w:r w:rsidRPr="00D24D98">
        <w:rPr>
          <w:sz w:val="23"/>
          <w:szCs w:val="23"/>
        </w:rPr>
        <w:t> ») prévoit que :</w:t>
      </w:r>
    </w:p>
    <w:p w:rsidR="0031716A" w:rsidRPr="00D24D98" w:rsidRDefault="0031716A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31716A" w:rsidRPr="00D24D98" w:rsidRDefault="0031716A" w:rsidP="00D24D98">
      <w:pPr>
        <w:pStyle w:val="Paragraphedeliste1"/>
        <w:numPr>
          <w:ilvl w:val="0"/>
          <w:numId w:val="0"/>
        </w:numPr>
        <w:spacing w:line="276" w:lineRule="auto"/>
        <w:ind w:left="1416"/>
        <w:rPr>
          <w:i/>
          <w:sz w:val="23"/>
          <w:szCs w:val="23"/>
        </w:rPr>
      </w:pPr>
      <w:r w:rsidRPr="00D24D98">
        <w:rPr>
          <w:sz w:val="23"/>
          <w:szCs w:val="23"/>
        </w:rPr>
        <w:t>« </w:t>
      </w:r>
      <w:r w:rsidRPr="00D24D98">
        <w:rPr>
          <w:i/>
          <w:sz w:val="23"/>
          <w:szCs w:val="23"/>
        </w:rPr>
        <w:t xml:space="preserve">Toute personne placée en garde à vue peut, à sa demande, être examinée par un médecin désigné par le procureur de la République ou l'officier de police judiciaire. En cas de prolongation, elle peut demander à être examinée une seconde fois. Le médecin se prononce sur l'aptitude au maintien en garde à vue et procède à toutes constatations utiles. Sauf en cas de circonstance insurmontable, les diligences incombant aux enquêteurs en application du présent alinéa doivent intervenir </w:t>
      </w:r>
      <w:r w:rsidRPr="00D24D98">
        <w:rPr>
          <w:b/>
          <w:i/>
          <w:sz w:val="23"/>
          <w:szCs w:val="23"/>
        </w:rPr>
        <w:t>au plus tard dans un délai de trois heures</w:t>
      </w:r>
      <w:r w:rsidRPr="00D24D98">
        <w:rPr>
          <w:i/>
          <w:sz w:val="23"/>
          <w:szCs w:val="23"/>
        </w:rPr>
        <w:t xml:space="preserve"> à compter du moment où la personne a formulé la demande. </w:t>
      </w:r>
      <w:r w:rsidR="00D76ECB" w:rsidRPr="00D24D98">
        <w:rPr>
          <w:sz w:val="23"/>
          <w:szCs w:val="23"/>
        </w:rPr>
        <w:t>(</w:t>
      </w:r>
      <w:r w:rsidRPr="00D24D98">
        <w:rPr>
          <w:sz w:val="23"/>
          <w:szCs w:val="23"/>
        </w:rPr>
        <w:t>…</w:t>
      </w:r>
      <w:r w:rsidR="00D76ECB" w:rsidRPr="00D24D98">
        <w:rPr>
          <w:sz w:val="23"/>
          <w:szCs w:val="23"/>
        </w:rPr>
        <w:t>)</w:t>
      </w:r>
    </w:p>
    <w:p w:rsidR="0031716A" w:rsidRPr="00D24D98" w:rsidRDefault="0031716A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i/>
          <w:sz w:val="23"/>
          <w:szCs w:val="23"/>
        </w:rPr>
      </w:pPr>
    </w:p>
    <w:p w:rsidR="0031716A" w:rsidRPr="00D24D98" w:rsidRDefault="0031716A" w:rsidP="00D24D98">
      <w:pPr>
        <w:pStyle w:val="Paragraphedeliste1"/>
        <w:numPr>
          <w:ilvl w:val="0"/>
          <w:numId w:val="0"/>
        </w:numPr>
        <w:spacing w:line="276" w:lineRule="auto"/>
        <w:ind w:left="1416"/>
        <w:rPr>
          <w:sz w:val="23"/>
          <w:szCs w:val="23"/>
        </w:rPr>
      </w:pPr>
      <w:r w:rsidRPr="00D24D98">
        <w:rPr>
          <w:i/>
          <w:sz w:val="23"/>
          <w:szCs w:val="23"/>
        </w:rPr>
        <w:t>Le médecin examine sans délai la personne gardée à vue. Le certificat médical est versé au dossier</w:t>
      </w:r>
      <w:r w:rsidRPr="00D24D98">
        <w:rPr>
          <w:sz w:val="23"/>
          <w:szCs w:val="23"/>
        </w:rPr>
        <w:t>. »</w:t>
      </w:r>
    </w:p>
    <w:p w:rsidR="0031716A" w:rsidRPr="00D24D98" w:rsidRDefault="0031716A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31716A" w:rsidRPr="00D24D98" w:rsidRDefault="0031716A" w:rsidP="00D24D98">
      <w:pPr>
        <w:pStyle w:val="Paragraphedeliste1"/>
        <w:spacing w:line="276" w:lineRule="auto"/>
        <w:rPr>
          <w:sz w:val="23"/>
          <w:szCs w:val="23"/>
        </w:rPr>
      </w:pPr>
      <w:r w:rsidRPr="00D24D98">
        <w:rPr>
          <w:sz w:val="23"/>
          <w:szCs w:val="23"/>
        </w:rPr>
        <w:t>Ce droit est évidemment fondamental, pour plusieurs raisons que rappelle la Cour de cassation dans son Rapport Santé et système répressif :</w:t>
      </w:r>
    </w:p>
    <w:p w:rsidR="0031716A" w:rsidRPr="00D24D98" w:rsidRDefault="0031716A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31716A" w:rsidRPr="00D24D98" w:rsidRDefault="0031716A" w:rsidP="00D24D98">
      <w:pPr>
        <w:pStyle w:val="Paragraphedeliste1"/>
        <w:numPr>
          <w:ilvl w:val="0"/>
          <w:numId w:val="0"/>
        </w:numPr>
        <w:spacing w:line="276" w:lineRule="auto"/>
        <w:ind w:left="1416"/>
        <w:rPr>
          <w:sz w:val="23"/>
          <w:szCs w:val="23"/>
        </w:rPr>
      </w:pPr>
      <w:r w:rsidRPr="00D24D98">
        <w:rPr>
          <w:sz w:val="23"/>
          <w:szCs w:val="23"/>
        </w:rPr>
        <w:t>«</w:t>
      </w:r>
      <w:r w:rsidR="008A25BE" w:rsidRPr="00D24D98">
        <w:rPr>
          <w:sz w:val="23"/>
          <w:szCs w:val="23"/>
        </w:rPr>
        <w:t> </w:t>
      </w:r>
      <w:r w:rsidRPr="00D24D98">
        <w:rPr>
          <w:b/>
          <w:i/>
          <w:sz w:val="23"/>
          <w:szCs w:val="23"/>
        </w:rPr>
        <w:t>Parmi les garanties fondamentales accordées à la personne ainsi privée de sa liberté figure le droit à</w:t>
      </w:r>
      <w:r w:rsidRPr="00D24D98">
        <w:rPr>
          <w:i/>
          <w:sz w:val="23"/>
          <w:szCs w:val="23"/>
        </w:rPr>
        <w:t xml:space="preserve"> </w:t>
      </w:r>
      <w:r w:rsidRPr="00D24D98">
        <w:rPr>
          <w:b/>
          <w:i/>
          <w:sz w:val="23"/>
          <w:szCs w:val="23"/>
        </w:rPr>
        <w:t>la protection de son intégrité physique et, plus généralement de sa santé</w:t>
      </w:r>
      <w:r w:rsidRPr="00D24D98">
        <w:rPr>
          <w:i/>
          <w:sz w:val="23"/>
          <w:szCs w:val="23"/>
        </w:rPr>
        <w:t xml:space="preserve">. La Cour européenne des droits de l’homme s’est attachée, ces dernières années, à accentuer les obligations positives mises à la charge de l’autorité publique dans ce domaine. […] La Cour de cassation s’est attachée à assurer l’effectivité des droits légalement reconnus à la personne privée de liberté. </w:t>
      </w:r>
      <w:r w:rsidRPr="00D24D98">
        <w:rPr>
          <w:b/>
          <w:i/>
          <w:sz w:val="23"/>
          <w:szCs w:val="23"/>
        </w:rPr>
        <w:t>Les principes dégagés ont une incidence directe sur la garantie du droit spécifique au médecin et contribuent plus généralement au respect du droit de la personne gardée à vue à la protection de son intégrité physique et de sa santé, dès l’instant de la privation de liberté</w:t>
      </w:r>
      <w:r w:rsidRPr="00D24D98">
        <w:rPr>
          <w:sz w:val="23"/>
          <w:szCs w:val="23"/>
        </w:rPr>
        <w:t xml:space="preserve"> »</w:t>
      </w:r>
      <w:r w:rsidR="00D76ECB" w:rsidRPr="00D24D98">
        <w:rPr>
          <w:rStyle w:val="Appelnotedebasdep"/>
          <w:sz w:val="23"/>
          <w:szCs w:val="23"/>
        </w:rPr>
        <w:footnoteReference w:id="1"/>
      </w:r>
      <w:r w:rsidR="009337F9" w:rsidRPr="00D24D98">
        <w:rPr>
          <w:sz w:val="23"/>
          <w:szCs w:val="23"/>
        </w:rPr>
        <w:t>.</w:t>
      </w:r>
    </w:p>
    <w:p w:rsidR="0031716A" w:rsidRPr="00D24D98" w:rsidRDefault="0031716A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9337F9" w:rsidRPr="00D24D98" w:rsidRDefault="009337F9" w:rsidP="00D24D98">
      <w:pPr>
        <w:pStyle w:val="ParagrapheList"/>
        <w:spacing w:line="276" w:lineRule="auto"/>
        <w:rPr>
          <w:color w:val="000000"/>
          <w:sz w:val="23"/>
          <w:szCs w:val="23"/>
          <w:shd w:val="clear" w:color="auto" w:fill="FFFFFF"/>
        </w:rPr>
      </w:pPr>
      <w:r w:rsidRPr="00D24D98">
        <w:rPr>
          <w:color w:val="000000"/>
          <w:sz w:val="23"/>
          <w:szCs w:val="23"/>
          <w:shd w:val="clear" w:color="auto" w:fill="FFFFFF"/>
        </w:rPr>
        <w:t xml:space="preserve">L’article 802 du CPP dispose, pour sa part, que : </w:t>
      </w:r>
    </w:p>
    <w:p w:rsidR="009337F9" w:rsidRPr="00D24D98" w:rsidRDefault="009337F9" w:rsidP="00D24D98">
      <w:pPr>
        <w:pStyle w:val="ParagrapheList"/>
        <w:numPr>
          <w:ilvl w:val="0"/>
          <w:numId w:val="0"/>
        </w:numPr>
        <w:spacing w:line="276" w:lineRule="auto"/>
        <w:ind w:left="720"/>
        <w:rPr>
          <w:color w:val="000000"/>
          <w:sz w:val="23"/>
          <w:szCs w:val="23"/>
          <w:shd w:val="clear" w:color="auto" w:fill="FFFFFF"/>
        </w:rPr>
      </w:pPr>
    </w:p>
    <w:p w:rsidR="009337F9" w:rsidRPr="00D24D98" w:rsidRDefault="009337F9" w:rsidP="00D24D98">
      <w:pPr>
        <w:pStyle w:val="ParagrapheList"/>
        <w:numPr>
          <w:ilvl w:val="0"/>
          <w:numId w:val="0"/>
        </w:numPr>
        <w:spacing w:line="276" w:lineRule="auto"/>
        <w:ind w:left="1416"/>
        <w:rPr>
          <w:color w:val="000000"/>
          <w:sz w:val="23"/>
          <w:szCs w:val="23"/>
          <w:shd w:val="clear" w:color="auto" w:fill="FFFFFF"/>
        </w:rPr>
      </w:pPr>
      <w:r w:rsidRPr="00D24D98">
        <w:rPr>
          <w:color w:val="000000"/>
          <w:sz w:val="23"/>
          <w:szCs w:val="23"/>
          <w:shd w:val="clear" w:color="auto" w:fill="FFFFFF"/>
        </w:rPr>
        <w:t xml:space="preserve">« </w:t>
      </w:r>
      <w:r w:rsidRPr="00D24D98">
        <w:rPr>
          <w:i/>
          <w:color w:val="000000"/>
          <w:sz w:val="23"/>
          <w:szCs w:val="23"/>
          <w:shd w:val="clear" w:color="auto" w:fill="FFFFFF"/>
        </w:rPr>
        <w:t>En cas de violation des formes prescrites par la loi à peine de nullité ou d'inobservation des formalités substantielles, toute juridiction, y compris la Cour de cassation, qui est saisie d'une demande d'annulation ou qui relève d'office une telle irrégularité ne peut prononcer la nullité que lorsque celle-ci a eu pour effet de porter atteinte aux intérêts de la partie qu'elle concerne</w:t>
      </w:r>
      <w:r w:rsidRPr="00D24D98">
        <w:rPr>
          <w:color w:val="000000"/>
          <w:sz w:val="23"/>
          <w:szCs w:val="23"/>
          <w:shd w:val="clear" w:color="auto" w:fill="FFFFFF"/>
        </w:rPr>
        <w:t>. »</w:t>
      </w:r>
    </w:p>
    <w:p w:rsidR="009337F9" w:rsidRPr="00D24D98" w:rsidRDefault="009337F9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31716A" w:rsidRPr="00D24D98" w:rsidRDefault="008F3183" w:rsidP="00D24D98">
      <w:pPr>
        <w:pStyle w:val="Paragraphedeliste1"/>
        <w:spacing w:line="276" w:lineRule="auto"/>
        <w:rPr>
          <w:sz w:val="23"/>
          <w:szCs w:val="23"/>
        </w:rPr>
      </w:pPr>
      <w:r w:rsidRPr="00D24D98">
        <w:rPr>
          <w:sz w:val="23"/>
          <w:szCs w:val="23"/>
        </w:rPr>
        <w:t xml:space="preserve">En l’espèce, il est manifeste que la violation des dispositions de l’article 63-3 du CPP </w:t>
      </w:r>
      <w:r w:rsidR="00FF487E" w:rsidRPr="00D24D98">
        <w:rPr>
          <w:sz w:val="23"/>
          <w:szCs w:val="23"/>
        </w:rPr>
        <w:t xml:space="preserve">– au demeurant tributaires d’aucune circonstance insurmontable – </w:t>
      </w:r>
      <w:r w:rsidRPr="00D24D98">
        <w:rPr>
          <w:sz w:val="23"/>
          <w:szCs w:val="23"/>
        </w:rPr>
        <w:t>ont fait grief à                                                       .</w:t>
      </w:r>
    </w:p>
    <w:p w:rsidR="00F95E70" w:rsidRPr="00D24D98" w:rsidRDefault="00F95E70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813A2C" w:rsidRPr="00D24D98" w:rsidRDefault="00813A2C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813A2C" w:rsidRPr="00D24D98" w:rsidRDefault="00813A2C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EF614D" w:rsidRPr="00D24D98" w:rsidRDefault="00EF614D" w:rsidP="00D24D98">
      <w:pPr>
        <w:spacing w:line="276" w:lineRule="auto"/>
        <w:rPr>
          <w:rFonts w:ascii="Garamond" w:hAnsi="Garamond"/>
          <w:b/>
          <w:sz w:val="23"/>
          <w:szCs w:val="23"/>
        </w:rPr>
      </w:pPr>
      <w:r w:rsidRPr="00D24D98">
        <w:rPr>
          <w:b/>
          <w:sz w:val="23"/>
          <w:szCs w:val="23"/>
        </w:rPr>
        <w:br w:type="page"/>
      </w:r>
    </w:p>
    <w:p w:rsidR="00F95E70" w:rsidRPr="00D24D98" w:rsidRDefault="00F95E70" w:rsidP="00D24D98">
      <w:pPr>
        <w:pStyle w:val="Paragraphedeliste1"/>
        <w:numPr>
          <w:ilvl w:val="1"/>
          <w:numId w:val="7"/>
        </w:numPr>
        <w:spacing w:line="276" w:lineRule="auto"/>
        <w:rPr>
          <w:b/>
          <w:sz w:val="23"/>
          <w:szCs w:val="23"/>
        </w:rPr>
      </w:pPr>
      <w:r w:rsidRPr="00D24D98">
        <w:rPr>
          <w:b/>
          <w:sz w:val="23"/>
          <w:szCs w:val="23"/>
        </w:rPr>
        <w:lastRenderedPageBreak/>
        <w:t>En l’espèce</w:t>
      </w:r>
    </w:p>
    <w:p w:rsidR="00F95E70" w:rsidRPr="00D24D98" w:rsidRDefault="00F95E70" w:rsidP="00D24D98">
      <w:pPr>
        <w:pStyle w:val="Paragraphedeliste1"/>
        <w:numPr>
          <w:ilvl w:val="0"/>
          <w:numId w:val="0"/>
        </w:numPr>
        <w:spacing w:line="276" w:lineRule="auto"/>
        <w:ind w:left="1416"/>
        <w:rPr>
          <w:sz w:val="23"/>
          <w:szCs w:val="23"/>
        </w:rPr>
      </w:pPr>
    </w:p>
    <w:p w:rsidR="003A7614" w:rsidRPr="00D24D98" w:rsidRDefault="003A7614" w:rsidP="00D24D98">
      <w:pPr>
        <w:pStyle w:val="Paragraphedeliste1"/>
        <w:spacing w:line="276" w:lineRule="auto"/>
        <w:rPr>
          <w:i/>
          <w:sz w:val="23"/>
          <w:szCs w:val="23"/>
        </w:rPr>
      </w:pPr>
      <w:r w:rsidRPr="00D24D98">
        <w:rPr>
          <w:sz w:val="23"/>
          <w:szCs w:val="23"/>
        </w:rPr>
        <w:t xml:space="preserve">En l’espèce, </w:t>
      </w:r>
      <w:r w:rsidR="00A774D8" w:rsidRPr="00D24D98">
        <w:rPr>
          <w:sz w:val="23"/>
          <w:szCs w:val="23"/>
        </w:rPr>
        <w:t xml:space="preserve"> </w:t>
      </w:r>
    </w:p>
    <w:p w:rsidR="00F95E70" w:rsidRPr="00D24D98" w:rsidRDefault="00F95E70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F95E70" w:rsidRPr="00D24D98" w:rsidRDefault="00F95E70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F95E70" w:rsidRPr="00D24D98" w:rsidRDefault="00F95E70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F95E70" w:rsidRPr="00D24D98" w:rsidRDefault="00F95E70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F95E70" w:rsidRPr="00D24D98" w:rsidRDefault="00F95E70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i/>
          <w:sz w:val="23"/>
          <w:szCs w:val="23"/>
        </w:rPr>
      </w:pP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i/>
          <w:sz w:val="23"/>
          <w:szCs w:val="23"/>
        </w:rPr>
      </w:pPr>
    </w:p>
    <w:p w:rsidR="003A7614" w:rsidRPr="00D24D98" w:rsidRDefault="003A7614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i/>
          <w:sz w:val="23"/>
          <w:szCs w:val="23"/>
        </w:rPr>
      </w:pPr>
    </w:p>
    <w:p w:rsidR="003171D1" w:rsidRPr="00D24D98" w:rsidRDefault="003171D1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EF614D" w:rsidRPr="00D24D98" w:rsidRDefault="00EF614D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EF614D" w:rsidRPr="00D24D98" w:rsidRDefault="00EF614D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EF614D" w:rsidRPr="00D24D98" w:rsidRDefault="00EF614D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EF614D" w:rsidRPr="00D24D98" w:rsidRDefault="00EF614D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3171D1" w:rsidRPr="00D24D98" w:rsidRDefault="003171D1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i/>
          <w:sz w:val="23"/>
          <w:szCs w:val="23"/>
        </w:rPr>
      </w:pPr>
      <w:r w:rsidRPr="00D24D98">
        <w:rPr>
          <w:b/>
          <w:sz w:val="23"/>
          <w:szCs w:val="23"/>
          <w:u w:val="single"/>
        </w:rPr>
        <w:t xml:space="preserve">Il est ainsi demandé au Tribunal d’annuler </w:t>
      </w:r>
      <w:r w:rsidR="00EF614D" w:rsidRPr="00D24D98">
        <w:rPr>
          <w:b/>
          <w:sz w:val="23"/>
          <w:szCs w:val="23"/>
          <w:u w:val="single"/>
        </w:rPr>
        <w:t>l’</w:t>
      </w:r>
      <w:r w:rsidR="00D24D98">
        <w:rPr>
          <w:b/>
          <w:sz w:val="23"/>
          <w:szCs w:val="23"/>
          <w:u w:val="single"/>
        </w:rPr>
        <w:t>intégralité de la garde à vue</w:t>
      </w:r>
      <w:r w:rsidR="00D24D98">
        <w:rPr>
          <w:b/>
          <w:sz w:val="23"/>
          <w:szCs w:val="23"/>
          <w:u w:val="single"/>
        </w:rPr>
        <w:br/>
        <w:t>du Concluant</w:t>
      </w:r>
      <w:r w:rsidRPr="00D24D98">
        <w:rPr>
          <w:sz w:val="23"/>
          <w:szCs w:val="23"/>
        </w:rPr>
        <w:t>.</w:t>
      </w:r>
    </w:p>
    <w:p w:rsidR="00F1660C" w:rsidRPr="00D24D98" w:rsidRDefault="00F1660C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603A96" w:rsidRPr="00D24D98" w:rsidRDefault="00603A96" w:rsidP="00D24D98">
      <w:pPr>
        <w:spacing w:line="276" w:lineRule="auto"/>
        <w:jc w:val="center"/>
        <w:rPr>
          <w:rFonts w:ascii="Garamond" w:hAnsi="Garamond"/>
          <w:sz w:val="23"/>
          <w:szCs w:val="23"/>
        </w:rPr>
      </w:pPr>
      <w:r w:rsidRPr="00D24D98">
        <w:rPr>
          <w:rFonts w:ascii="Garamond" w:hAnsi="Garamond"/>
          <w:sz w:val="23"/>
          <w:szCs w:val="23"/>
        </w:rPr>
        <w:t>*          *          *</w:t>
      </w:r>
    </w:p>
    <w:p w:rsidR="00D70FB4" w:rsidRPr="00D24D98" w:rsidRDefault="00603A96" w:rsidP="00D24D98">
      <w:pPr>
        <w:pStyle w:val="Paragraphedeliste1"/>
        <w:spacing w:line="276" w:lineRule="auto"/>
        <w:rPr>
          <w:sz w:val="23"/>
          <w:szCs w:val="23"/>
        </w:rPr>
      </w:pPr>
      <w:r w:rsidRPr="00D24D98">
        <w:rPr>
          <w:sz w:val="23"/>
          <w:szCs w:val="23"/>
        </w:rPr>
        <w:t xml:space="preserve">L’article 459 du CPP prévoit </w:t>
      </w:r>
      <w:r w:rsidR="00D70FB4" w:rsidRPr="00D24D98">
        <w:rPr>
          <w:sz w:val="23"/>
          <w:szCs w:val="23"/>
        </w:rPr>
        <w:t xml:space="preserve">en son alinéa 4 que </w:t>
      </w:r>
      <w:r w:rsidRPr="00D24D98">
        <w:rPr>
          <w:sz w:val="23"/>
          <w:szCs w:val="23"/>
        </w:rPr>
        <w:t xml:space="preserve">la juridiction correctionnelle </w:t>
      </w:r>
      <w:r w:rsidR="00D70FB4" w:rsidRPr="00D24D98">
        <w:rPr>
          <w:sz w:val="23"/>
          <w:szCs w:val="23"/>
        </w:rPr>
        <w:t xml:space="preserve">ne peut joindre au fond une exception de procédure si celle-ci </w:t>
      </w:r>
      <w:r w:rsidR="00D70FB4" w:rsidRPr="00D24D98">
        <w:rPr>
          <w:sz w:val="23"/>
          <w:szCs w:val="23"/>
          <w:u w:val="single"/>
        </w:rPr>
        <w:t>touche à l’ordre public</w:t>
      </w:r>
      <w:r w:rsidR="00D70FB4" w:rsidRPr="00D24D98">
        <w:rPr>
          <w:sz w:val="23"/>
          <w:szCs w:val="23"/>
        </w:rPr>
        <w:t>.</w:t>
      </w:r>
    </w:p>
    <w:p w:rsidR="00D70FB4" w:rsidRPr="00D24D98" w:rsidRDefault="00D70FB4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D70FB4" w:rsidRPr="00D24D98" w:rsidRDefault="00D70FB4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  <w:r w:rsidRPr="00D24D98">
        <w:rPr>
          <w:sz w:val="23"/>
          <w:szCs w:val="23"/>
        </w:rPr>
        <w:t>Il est constant que les principes</w:t>
      </w:r>
      <w:r w:rsidR="00F25595" w:rsidRPr="00D24D98">
        <w:rPr>
          <w:sz w:val="23"/>
          <w:szCs w:val="23"/>
        </w:rPr>
        <w:t xml:space="preserve"> afférant </w:t>
      </w:r>
      <w:r w:rsidR="00EA5497" w:rsidRPr="00D24D98">
        <w:rPr>
          <w:sz w:val="23"/>
          <w:szCs w:val="23"/>
        </w:rPr>
        <w:t>aux circonstances de la privation de liberté d’un individu sont d’ordre public.</w:t>
      </w:r>
    </w:p>
    <w:p w:rsidR="00EA5497" w:rsidRPr="00D24D98" w:rsidRDefault="00EA5497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EA5497" w:rsidRPr="00D24D98" w:rsidRDefault="00EA5497" w:rsidP="00D24D98">
      <w:pPr>
        <w:pStyle w:val="Paragraphedeliste1"/>
        <w:numPr>
          <w:ilvl w:val="0"/>
          <w:numId w:val="0"/>
        </w:numPr>
        <w:spacing w:line="276" w:lineRule="auto"/>
        <w:ind w:left="1068" w:hanging="360"/>
        <w:rPr>
          <w:sz w:val="23"/>
          <w:szCs w:val="23"/>
        </w:rPr>
      </w:pPr>
      <w:r w:rsidRPr="00D24D98">
        <w:rPr>
          <w:sz w:val="23"/>
          <w:szCs w:val="23"/>
        </w:rPr>
        <w:t>Aussi, il sera demandé au Tribunal de céans de ne pas joindre l’incident au fond.</w:t>
      </w:r>
    </w:p>
    <w:p w:rsidR="00D70FB4" w:rsidRPr="00D24D98" w:rsidRDefault="00D70FB4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D70FB4" w:rsidRPr="00D24D98" w:rsidRDefault="00D70FB4" w:rsidP="00D24D98">
      <w:pPr>
        <w:spacing w:line="276" w:lineRule="auto"/>
        <w:rPr>
          <w:rFonts w:ascii="Garamond" w:hAnsi="Garamond"/>
          <w:sz w:val="23"/>
          <w:szCs w:val="23"/>
        </w:rPr>
      </w:pPr>
      <w:r w:rsidRPr="00D24D98">
        <w:rPr>
          <w:sz w:val="23"/>
          <w:szCs w:val="23"/>
        </w:rPr>
        <w:br w:type="page"/>
      </w:r>
    </w:p>
    <w:p w:rsidR="003171D1" w:rsidRPr="00D24D98" w:rsidRDefault="003171D1" w:rsidP="00D24D98">
      <w:pPr>
        <w:pStyle w:val="Paragraphedeliste1"/>
        <w:numPr>
          <w:ilvl w:val="0"/>
          <w:numId w:val="0"/>
        </w:numPr>
        <w:spacing w:line="276" w:lineRule="auto"/>
        <w:ind w:left="720"/>
        <w:jc w:val="center"/>
        <w:rPr>
          <w:b/>
          <w:smallCaps/>
          <w:sz w:val="23"/>
          <w:szCs w:val="23"/>
        </w:rPr>
      </w:pPr>
      <w:r w:rsidRPr="00D24D98">
        <w:rPr>
          <w:b/>
          <w:smallCaps/>
          <w:sz w:val="23"/>
          <w:szCs w:val="23"/>
        </w:rPr>
        <w:lastRenderedPageBreak/>
        <w:t>Par ces motifs</w:t>
      </w:r>
    </w:p>
    <w:p w:rsidR="003171D1" w:rsidRPr="00D24D98" w:rsidRDefault="003171D1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3171D1" w:rsidRPr="00D24D98" w:rsidRDefault="003171D1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3171D1" w:rsidRPr="00D24D98" w:rsidRDefault="003171D1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  <w:r w:rsidRPr="00D24D98">
        <w:rPr>
          <w:sz w:val="23"/>
          <w:szCs w:val="23"/>
        </w:rPr>
        <w:t>Vu l</w:t>
      </w:r>
      <w:r w:rsidR="00A774D8" w:rsidRPr="00D24D98">
        <w:rPr>
          <w:sz w:val="23"/>
          <w:szCs w:val="23"/>
        </w:rPr>
        <w:t>es articles préliminaire,</w:t>
      </w:r>
      <w:r w:rsidR="00205AB9" w:rsidRPr="00D24D98">
        <w:rPr>
          <w:sz w:val="23"/>
          <w:szCs w:val="23"/>
        </w:rPr>
        <w:t xml:space="preserve"> </w:t>
      </w:r>
      <w:r w:rsidR="00A774D8" w:rsidRPr="00D24D98">
        <w:rPr>
          <w:sz w:val="23"/>
          <w:szCs w:val="23"/>
        </w:rPr>
        <w:t>63-</w:t>
      </w:r>
      <w:r w:rsidR="00723223" w:rsidRPr="00D24D98">
        <w:rPr>
          <w:sz w:val="23"/>
          <w:szCs w:val="23"/>
        </w:rPr>
        <w:t>3</w:t>
      </w:r>
      <w:r w:rsidR="00C67AC8" w:rsidRPr="00D24D98">
        <w:rPr>
          <w:sz w:val="23"/>
          <w:szCs w:val="23"/>
        </w:rPr>
        <w:t>,</w:t>
      </w:r>
      <w:r w:rsidR="00A774D8" w:rsidRPr="00D24D98">
        <w:rPr>
          <w:sz w:val="23"/>
          <w:szCs w:val="23"/>
        </w:rPr>
        <w:t xml:space="preserve"> </w:t>
      </w:r>
      <w:r w:rsidRPr="00D24D98">
        <w:rPr>
          <w:sz w:val="23"/>
          <w:szCs w:val="23"/>
        </w:rPr>
        <w:t>385</w:t>
      </w:r>
      <w:r w:rsidR="00151CAB" w:rsidRPr="00D24D98">
        <w:rPr>
          <w:sz w:val="23"/>
          <w:szCs w:val="23"/>
        </w:rPr>
        <w:t>, 45</w:t>
      </w:r>
      <w:r w:rsidR="00723223" w:rsidRPr="00D24D98">
        <w:rPr>
          <w:sz w:val="23"/>
          <w:szCs w:val="23"/>
        </w:rPr>
        <w:t>9</w:t>
      </w:r>
      <w:r w:rsidRPr="00D24D98">
        <w:rPr>
          <w:sz w:val="23"/>
          <w:szCs w:val="23"/>
        </w:rPr>
        <w:t xml:space="preserve"> </w:t>
      </w:r>
      <w:r w:rsidR="00C67AC8" w:rsidRPr="00D24D98">
        <w:rPr>
          <w:sz w:val="23"/>
          <w:szCs w:val="23"/>
        </w:rPr>
        <w:t xml:space="preserve">et 802 </w:t>
      </w:r>
      <w:r w:rsidRPr="00D24D98">
        <w:rPr>
          <w:sz w:val="23"/>
          <w:szCs w:val="23"/>
        </w:rPr>
        <w:t>du Code de procédure pénale,</w:t>
      </w:r>
    </w:p>
    <w:p w:rsidR="00A774D8" w:rsidRPr="00D24D98" w:rsidRDefault="00A774D8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3171D1" w:rsidRPr="00D24D98" w:rsidRDefault="003171D1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  <w:r w:rsidRPr="00D24D98">
        <w:rPr>
          <w:sz w:val="23"/>
          <w:szCs w:val="23"/>
        </w:rPr>
        <w:t>Vu les présentes conclusions et la jurisprudence y reproduite,</w:t>
      </w:r>
    </w:p>
    <w:p w:rsidR="003171D1" w:rsidRPr="00D24D98" w:rsidRDefault="003171D1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3171D1" w:rsidRPr="00D24D98" w:rsidRDefault="003171D1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  <w:r w:rsidRPr="00D24D98">
        <w:rPr>
          <w:sz w:val="23"/>
          <w:szCs w:val="23"/>
        </w:rPr>
        <w:t>Il est demandé au Tribunal de :</w:t>
      </w:r>
    </w:p>
    <w:p w:rsidR="003171D1" w:rsidRPr="00D24D98" w:rsidRDefault="003171D1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304175" w:rsidRPr="00D24D98" w:rsidRDefault="00304175" w:rsidP="00D24D98">
      <w:pPr>
        <w:pStyle w:val="Paragraphedeliste1"/>
        <w:numPr>
          <w:ilvl w:val="0"/>
          <w:numId w:val="6"/>
        </w:numPr>
        <w:spacing w:line="276" w:lineRule="auto"/>
        <w:rPr>
          <w:sz w:val="23"/>
          <w:szCs w:val="23"/>
        </w:rPr>
      </w:pPr>
      <w:r w:rsidRPr="00D24D98">
        <w:rPr>
          <w:b/>
          <w:sz w:val="23"/>
          <w:szCs w:val="23"/>
        </w:rPr>
        <w:t>Dire et juger</w:t>
      </w:r>
      <w:r w:rsidRPr="00D24D98">
        <w:rPr>
          <w:sz w:val="23"/>
          <w:szCs w:val="23"/>
        </w:rPr>
        <w:t xml:space="preserve"> recevable l’exception de nullité ;</w:t>
      </w:r>
    </w:p>
    <w:p w:rsidR="00151CAB" w:rsidRPr="00D24D98" w:rsidRDefault="00151CAB" w:rsidP="00D24D98">
      <w:pPr>
        <w:pStyle w:val="Paragraphedeliste1"/>
        <w:numPr>
          <w:ilvl w:val="0"/>
          <w:numId w:val="0"/>
        </w:numPr>
        <w:spacing w:line="276" w:lineRule="auto"/>
        <w:ind w:left="1080"/>
        <w:rPr>
          <w:sz w:val="23"/>
          <w:szCs w:val="23"/>
        </w:rPr>
      </w:pPr>
    </w:p>
    <w:p w:rsidR="00151CAB" w:rsidRPr="00D24D98" w:rsidRDefault="00151CAB" w:rsidP="00D24D98">
      <w:pPr>
        <w:pStyle w:val="Paragraphedeliste1"/>
        <w:numPr>
          <w:ilvl w:val="0"/>
          <w:numId w:val="6"/>
        </w:numPr>
        <w:spacing w:line="276" w:lineRule="auto"/>
        <w:rPr>
          <w:b/>
          <w:sz w:val="23"/>
          <w:szCs w:val="23"/>
        </w:rPr>
      </w:pPr>
      <w:r w:rsidRPr="00D24D98">
        <w:rPr>
          <w:b/>
          <w:sz w:val="23"/>
          <w:szCs w:val="23"/>
        </w:rPr>
        <w:t xml:space="preserve">Y répondre </w:t>
      </w:r>
      <w:r w:rsidRPr="00D24D98">
        <w:rPr>
          <w:sz w:val="23"/>
          <w:szCs w:val="23"/>
        </w:rPr>
        <w:t xml:space="preserve">par jugement séparé </w:t>
      </w:r>
      <w:r w:rsidRPr="00D24D98">
        <w:rPr>
          <w:i/>
          <w:sz w:val="23"/>
          <w:szCs w:val="23"/>
        </w:rPr>
        <w:t>in limine litis </w:t>
      </w:r>
      <w:r w:rsidRPr="00D24D98">
        <w:rPr>
          <w:sz w:val="23"/>
          <w:szCs w:val="23"/>
        </w:rPr>
        <w:t>;</w:t>
      </w:r>
    </w:p>
    <w:p w:rsidR="00304175" w:rsidRPr="00D24D98" w:rsidRDefault="00304175" w:rsidP="00D24D98">
      <w:pPr>
        <w:pStyle w:val="Paragraphedeliste1"/>
        <w:numPr>
          <w:ilvl w:val="0"/>
          <w:numId w:val="0"/>
        </w:numPr>
        <w:spacing w:line="276" w:lineRule="auto"/>
        <w:ind w:left="1080"/>
        <w:rPr>
          <w:sz w:val="23"/>
          <w:szCs w:val="23"/>
        </w:rPr>
      </w:pPr>
    </w:p>
    <w:p w:rsidR="00304175" w:rsidRPr="00D24D98" w:rsidRDefault="003171D1" w:rsidP="00D24D98">
      <w:pPr>
        <w:pStyle w:val="Paragraphedeliste1"/>
        <w:numPr>
          <w:ilvl w:val="0"/>
          <w:numId w:val="6"/>
        </w:numPr>
        <w:spacing w:line="276" w:lineRule="auto"/>
        <w:rPr>
          <w:sz w:val="23"/>
          <w:szCs w:val="23"/>
        </w:rPr>
      </w:pPr>
      <w:r w:rsidRPr="00D24D98">
        <w:rPr>
          <w:b/>
          <w:sz w:val="23"/>
          <w:szCs w:val="23"/>
        </w:rPr>
        <w:t>Constater</w:t>
      </w:r>
      <w:r w:rsidRPr="00D24D98">
        <w:rPr>
          <w:sz w:val="23"/>
          <w:szCs w:val="23"/>
        </w:rPr>
        <w:t xml:space="preserve"> </w:t>
      </w:r>
      <w:r w:rsidR="00790D65" w:rsidRPr="00D24D98">
        <w:rPr>
          <w:sz w:val="23"/>
          <w:szCs w:val="23"/>
        </w:rPr>
        <w:t>la violation de l’article 63-3 du CPP</w:t>
      </w:r>
      <w:r w:rsidR="00304175" w:rsidRPr="00D24D98">
        <w:rPr>
          <w:sz w:val="23"/>
          <w:szCs w:val="23"/>
        </w:rPr>
        <w:t> ;</w:t>
      </w:r>
    </w:p>
    <w:p w:rsidR="00790D65" w:rsidRPr="00D24D98" w:rsidRDefault="00790D65" w:rsidP="00D24D98">
      <w:pPr>
        <w:pStyle w:val="Paragraphedeliste1"/>
        <w:numPr>
          <w:ilvl w:val="0"/>
          <w:numId w:val="0"/>
        </w:numPr>
        <w:spacing w:line="276" w:lineRule="auto"/>
        <w:ind w:left="1080"/>
        <w:rPr>
          <w:sz w:val="23"/>
          <w:szCs w:val="23"/>
        </w:rPr>
      </w:pPr>
    </w:p>
    <w:p w:rsidR="00266404" w:rsidRPr="00D24D98" w:rsidRDefault="005C3EAA" w:rsidP="00D24D98">
      <w:pPr>
        <w:pStyle w:val="Paragraphedeliste1"/>
        <w:numPr>
          <w:ilvl w:val="0"/>
          <w:numId w:val="6"/>
        </w:numPr>
        <w:spacing w:line="276" w:lineRule="auto"/>
        <w:rPr>
          <w:sz w:val="23"/>
          <w:szCs w:val="23"/>
        </w:rPr>
      </w:pPr>
      <w:r w:rsidRPr="00D24D98">
        <w:rPr>
          <w:b/>
          <w:sz w:val="23"/>
          <w:szCs w:val="23"/>
        </w:rPr>
        <w:t>Prononcer</w:t>
      </w:r>
      <w:r w:rsidR="00266404" w:rsidRPr="00D24D98">
        <w:rPr>
          <w:sz w:val="23"/>
          <w:szCs w:val="23"/>
        </w:rPr>
        <w:t xml:space="preserve"> la nullité de tous les actes de garde à vue réalisés à l’endroit d</w:t>
      </w:r>
      <w:r w:rsidR="008B0FC2">
        <w:rPr>
          <w:sz w:val="23"/>
          <w:szCs w:val="23"/>
        </w:rPr>
        <w:t>u Concluant</w:t>
      </w:r>
      <w:r w:rsidR="004C58BB">
        <w:rPr>
          <w:sz w:val="23"/>
          <w:szCs w:val="23"/>
        </w:rPr>
        <w:t>.</w:t>
      </w:r>
    </w:p>
    <w:p w:rsidR="00266404" w:rsidRPr="00D24D98" w:rsidRDefault="00266404" w:rsidP="00D24D98">
      <w:pPr>
        <w:pStyle w:val="Paragraphedeliste1"/>
        <w:numPr>
          <w:ilvl w:val="0"/>
          <w:numId w:val="0"/>
        </w:numPr>
        <w:spacing w:line="276" w:lineRule="auto"/>
        <w:ind w:left="720"/>
        <w:rPr>
          <w:sz w:val="23"/>
          <w:szCs w:val="23"/>
        </w:rPr>
      </w:pPr>
    </w:p>
    <w:p w:rsidR="003171D1" w:rsidRPr="00D24D98" w:rsidRDefault="003171D1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266404" w:rsidRPr="00D24D98" w:rsidRDefault="00266404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266404" w:rsidRPr="00D24D98" w:rsidRDefault="00266404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rPr>
          <w:sz w:val="23"/>
          <w:szCs w:val="23"/>
        </w:rPr>
      </w:pPr>
    </w:p>
    <w:p w:rsidR="00266404" w:rsidRPr="00D24D98" w:rsidRDefault="00266404" w:rsidP="00D24D98">
      <w:pPr>
        <w:pStyle w:val="Paragraphedeliste1"/>
        <w:numPr>
          <w:ilvl w:val="0"/>
          <w:numId w:val="0"/>
        </w:numPr>
        <w:spacing w:line="276" w:lineRule="auto"/>
        <w:ind w:left="720" w:hanging="360"/>
        <w:jc w:val="right"/>
        <w:rPr>
          <w:b/>
          <w:sz w:val="23"/>
          <w:szCs w:val="23"/>
        </w:rPr>
      </w:pPr>
      <w:r w:rsidRPr="00D24D98">
        <w:rPr>
          <w:b/>
          <w:sz w:val="23"/>
          <w:szCs w:val="23"/>
        </w:rPr>
        <w:t>Sous tous réserves</w:t>
      </w:r>
    </w:p>
    <w:sectPr w:rsidR="00266404" w:rsidRPr="00D24D98" w:rsidSect="00801C8E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9CF" w:rsidRDefault="000A59CF" w:rsidP="00C55882">
      <w:pPr>
        <w:spacing w:after="0" w:line="240" w:lineRule="auto"/>
      </w:pPr>
      <w:r>
        <w:separator/>
      </w:r>
    </w:p>
  </w:endnote>
  <w:endnote w:type="continuationSeparator" w:id="0">
    <w:p w:rsidR="000A59CF" w:rsidRDefault="000A59CF" w:rsidP="00C5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484133895"/>
      <w:docPartObj>
        <w:docPartGallery w:val="Page Numbers (Bottom of Page)"/>
        <w:docPartUnique/>
      </w:docPartObj>
    </w:sdtPr>
    <w:sdtEndPr/>
    <w:sdtContent>
      <w:p w:rsidR="00A774D8" w:rsidRPr="00A774D8" w:rsidRDefault="00A774D8">
        <w:pPr>
          <w:pStyle w:val="Pieddepage"/>
          <w:jc w:val="center"/>
          <w:rPr>
            <w:rFonts w:ascii="Garamond" w:hAnsi="Garamond"/>
          </w:rPr>
        </w:pPr>
        <w:r w:rsidRPr="00A774D8">
          <w:rPr>
            <w:rFonts w:ascii="Garamond" w:hAnsi="Garamond"/>
          </w:rPr>
          <w:fldChar w:fldCharType="begin"/>
        </w:r>
        <w:r w:rsidRPr="00A774D8">
          <w:rPr>
            <w:rFonts w:ascii="Garamond" w:hAnsi="Garamond"/>
          </w:rPr>
          <w:instrText>PAGE   \* MERGEFORMAT</w:instrText>
        </w:r>
        <w:r w:rsidRPr="00A774D8">
          <w:rPr>
            <w:rFonts w:ascii="Garamond" w:hAnsi="Garamond"/>
          </w:rPr>
          <w:fldChar w:fldCharType="separate"/>
        </w:r>
        <w:r w:rsidR="00C127CB">
          <w:rPr>
            <w:rFonts w:ascii="Garamond" w:hAnsi="Garamond"/>
            <w:noProof/>
          </w:rPr>
          <w:t>4</w:t>
        </w:r>
        <w:r w:rsidRPr="00A774D8">
          <w:rPr>
            <w:rFonts w:ascii="Garamond" w:hAnsi="Garamond"/>
          </w:rPr>
          <w:fldChar w:fldCharType="end"/>
        </w:r>
      </w:p>
    </w:sdtContent>
  </w:sdt>
  <w:p w:rsidR="00266404" w:rsidRPr="00A774D8" w:rsidRDefault="00266404">
    <w:pPr>
      <w:pStyle w:val="Pieddepage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9CF" w:rsidRDefault="000A59CF" w:rsidP="00C55882">
      <w:pPr>
        <w:spacing w:after="0" w:line="240" w:lineRule="auto"/>
      </w:pPr>
      <w:r>
        <w:separator/>
      </w:r>
    </w:p>
  </w:footnote>
  <w:footnote w:type="continuationSeparator" w:id="0">
    <w:p w:rsidR="000A59CF" w:rsidRDefault="000A59CF" w:rsidP="00C55882">
      <w:pPr>
        <w:spacing w:after="0" w:line="240" w:lineRule="auto"/>
      </w:pPr>
      <w:r>
        <w:continuationSeparator/>
      </w:r>
    </w:p>
  </w:footnote>
  <w:footnote w:id="1">
    <w:p w:rsidR="00D76ECB" w:rsidRPr="009337F9" w:rsidRDefault="00D76ECB">
      <w:pPr>
        <w:pStyle w:val="Notedebasdepage"/>
        <w:rPr>
          <w:rFonts w:ascii="Garamond" w:hAnsi="Garamond"/>
        </w:rPr>
      </w:pPr>
      <w:r w:rsidRPr="009337F9">
        <w:rPr>
          <w:rStyle w:val="Appelnotedebasdep"/>
          <w:rFonts w:ascii="Garamond" w:hAnsi="Garamond"/>
        </w:rPr>
        <w:footnoteRef/>
      </w:r>
      <w:r w:rsidR="00FB09F2" w:rsidRPr="009337F9">
        <w:rPr>
          <w:rFonts w:ascii="Garamond" w:hAnsi="Garamond"/>
        </w:rPr>
        <w:t xml:space="preserve"> Rapport annuel de la Cour de cassation pour l’année 2007, Troisième Partie : </w:t>
      </w:r>
      <w:r w:rsidR="009337F9" w:rsidRPr="009337F9">
        <w:rPr>
          <w:rFonts w:ascii="Garamond" w:hAnsi="Garamond"/>
        </w:rPr>
        <w:t>Étude</w:t>
      </w:r>
      <w:r w:rsidR="00FB09F2" w:rsidRPr="009337F9">
        <w:rPr>
          <w:rFonts w:ascii="Garamond" w:hAnsi="Garamond"/>
        </w:rPr>
        <w:t xml:space="preserve"> « La santé dans la jurisprudence de la Cour de cassation 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EC1"/>
    <w:multiLevelType w:val="hybridMultilevel"/>
    <w:tmpl w:val="CD3620CA"/>
    <w:lvl w:ilvl="0" w:tplc="36D628C8">
      <w:start w:val="1"/>
      <w:numFmt w:val="decimal"/>
      <w:pStyle w:val="ParagrapheList"/>
      <w:lvlText w:val="%1."/>
      <w:lvlJc w:val="left"/>
      <w:pPr>
        <w:ind w:left="720" w:hanging="360"/>
      </w:pPr>
      <w:rPr>
        <w:rFonts w:ascii="Garamond" w:hAnsi="Garamond" w:hint="default"/>
        <w:b/>
        <w:i w:val="0"/>
        <w:sz w:val="18"/>
        <w:szCs w:val="1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B8A"/>
    <w:multiLevelType w:val="hybridMultilevel"/>
    <w:tmpl w:val="10CEF89A"/>
    <w:lvl w:ilvl="0" w:tplc="3E827478">
      <w:start w:val="1"/>
      <w:numFmt w:val="decimal"/>
      <w:lvlText w:val="II.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DF4187"/>
    <w:multiLevelType w:val="hybridMultilevel"/>
    <w:tmpl w:val="7A6E6B2C"/>
    <w:lvl w:ilvl="0" w:tplc="E162FF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C670C61"/>
    <w:multiLevelType w:val="hybridMultilevel"/>
    <w:tmpl w:val="0E760B66"/>
    <w:lvl w:ilvl="0" w:tplc="877069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B85C5B"/>
    <w:multiLevelType w:val="hybridMultilevel"/>
    <w:tmpl w:val="B1860A74"/>
    <w:lvl w:ilvl="0" w:tplc="156668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E827478">
      <w:start w:val="1"/>
      <w:numFmt w:val="decimal"/>
      <w:lvlText w:val="II.%2."/>
      <w:lvlJc w:val="left"/>
      <w:pPr>
        <w:ind w:left="180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677553"/>
    <w:multiLevelType w:val="hybridMultilevel"/>
    <w:tmpl w:val="50E83532"/>
    <w:lvl w:ilvl="0" w:tplc="22AA3128">
      <w:start w:val="1"/>
      <w:numFmt w:val="bullet"/>
      <w:pStyle w:val="TiretLis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0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0AB"/>
    <w:rsid w:val="00042A33"/>
    <w:rsid w:val="000A59CF"/>
    <w:rsid w:val="000B0748"/>
    <w:rsid w:val="000C7E06"/>
    <w:rsid w:val="000E5881"/>
    <w:rsid w:val="001126B0"/>
    <w:rsid w:val="00144E9D"/>
    <w:rsid w:val="00151CAB"/>
    <w:rsid w:val="00180E17"/>
    <w:rsid w:val="00182413"/>
    <w:rsid w:val="001949CB"/>
    <w:rsid w:val="00195F4D"/>
    <w:rsid w:val="001B48CD"/>
    <w:rsid w:val="001D426C"/>
    <w:rsid w:val="00205AB9"/>
    <w:rsid w:val="002136D8"/>
    <w:rsid w:val="0023078E"/>
    <w:rsid w:val="00266404"/>
    <w:rsid w:val="002B11DA"/>
    <w:rsid w:val="002D7483"/>
    <w:rsid w:val="002E247C"/>
    <w:rsid w:val="00304175"/>
    <w:rsid w:val="0031716A"/>
    <w:rsid w:val="003171D1"/>
    <w:rsid w:val="003546D2"/>
    <w:rsid w:val="003A7614"/>
    <w:rsid w:val="003C1D4C"/>
    <w:rsid w:val="004177BF"/>
    <w:rsid w:val="00425EFC"/>
    <w:rsid w:val="00453FE6"/>
    <w:rsid w:val="00465CFF"/>
    <w:rsid w:val="004C58BB"/>
    <w:rsid w:val="004D67AF"/>
    <w:rsid w:val="00500A61"/>
    <w:rsid w:val="00512974"/>
    <w:rsid w:val="005131AA"/>
    <w:rsid w:val="00520EB1"/>
    <w:rsid w:val="0053785B"/>
    <w:rsid w:val="005C3EAA"/>
    <w:rsid w:val="00603A96"/>
    <w:rsid w:val="00653FB6"/>
    <w:rsid w:val="006570F1"/>
    <w:rsid w:val="00661F78"/>
    <w:rsid w:val="00666D9B"/>
    <w:rsid w:val="006D6C1E"/>
    <w:rsid w:val="00723223"/>
    <w:rsid w:val="00790D65"/>
    <w:rsid w:val="00801C8E"/>
    <w:rsid w:val="00813A2C"/>
    <w:rsid w:val="00830A28"/>
    <w:rsid w:val="008A25BE"/>
    <w:rsid w:val="008B0FC2"/>
    <w:rsid w:val="008F3183"/>
    <w:rsid w:val="008F41F8"/>
    <w:rsid w:val="0091055B"/>
    <w:rsid w:val="009337F9"/>
    <w:rsid w:val="00972C50"/>
    <w:rsid w:val="00976242"/>
    <w:rsid w:val="00A33273"/>
    <w:rsid w:val="00A63127"/>
    <w:rsid w:val="00A774D8"/>
    <w:rsid w:val="00A81244"/>
    <w:rsid w:val="00AA70AB"/>
    <w:rsid w:val="00AB22F1"/>
    <w:rsid w:val="00AE3B70"/>
    <w:rsid w:val="00B75F3A"/>
    <w:rsid w:val="00BA2E46"/>
    <w:rsid w:val="00BF7174"/>
    <w:rsid w:val="00C127CB"/>
    <w:rsid w:val="00C1739E"/>
    <w:rsid w:val="00C4241B"/>
    <w:rsid w:val="00C45C86"/>
    <w:rsid w:val="00C55882"/>
    <w:rsid w:val="00C57ED7"/>
    <w:rsid w:val="00C67AC8"/>
    <w:rsid w:val="00CD0550"/>
    <w:rsid w:val="00CD513D"/>
    <w:rsid w:val="00D24D98"/>
    <w:rsid w:val="00D70FB4"/>
    <w:rsid w:val="00D76ECB"/>
    <w:rsid w:val="00D874F4"/>
    <w:rsid w:val="00E52CBA"/>
    <w:rsid w:val="00EA5497"/>
    <w:rsid w:val="00EF614D"/>
    <w:rsid w:val="00F01FEB"/>
    <w:rsid w:val="00F1660C"/>
    <w:rsid w:val="00F25595"/>
    <w:rsid w:val="00F645EA"/>
    <w:rsid w:val="00F95E70"/>
    <w:rsid w:val="00FA3338"/>
    <w:rsid w:val="00FA69CD"/>
    <w:rsid w:val="00FB09F2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0A62"/>
  <w15:chartTrackingRefBased/>
  <w15:docId w15:val="{DEC7F8A0-80F9-42DD-9270-D6401E98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0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link w:val="BodyChar"/>
    <w:rsid w:val="00AA70AB"/>
    <w:pPr>
      <w:spacing w:after="140" w:line="288" w:lineRule="auto"/>
      <w:jc w:val="both"/>
    </w:pPr>
    <w:rPr>
      <w:rFonts w:ascii="Arial" w:eastAsia="Times New Roman" w:hAnsi="Arial" w:cs="Times New Roman"/>
      <w:kern w:val="20"/>
      <w:sz w:val="20"/>
      <w:szCs w:val="24"/>
      <w:lang w:eastAsia="en-GB"/>
    </w:rPr>
  </w:style>
  <w:style w:type="character" w:customStyle="1" w:styleId="BodyChar">
    <w:name w:val="Body Char"/>
    <w:link w:val="Body"/>
    <w:locked/>
    <w:rsid w:val="00AA70AB"/>
    <w:rPr>
      <w:rFonts w:ascii="Arial" w:eastAsia="Times New Roman" w:hAnsi="Arial" w:cs="Times New Roman"/>
      <w:kern w:val="20"/>
      <w:sz w:val="20"/>
      <w:szCs w:val="24"/>
      <w:lang w:eastAsia="en-GB"/>
    </w:rPr>
  </w:style>
  <w:style w:type="paragraph" w:styleId="Paragraphedeliste">
    <w:name w:val="List Paragraph"/>
    <w:basedOn w:val="Normal"/>
    <w:link w:val="ParagraphedelisteCar"/>
    <w:uiPriority w:val="34"/>
    <w:qFormat/>
    <w:rsid w:val="00AA70AB"/>
    <w:pPr>
      <w:ind w:left="720"/>
      <w:contextualSpacing/>
    </w:pPr>
  </w:style>
  <w:style w:type="paragraph" w:customStyle="1" w:styleId="ParagrapheList">
    <w:name w:val="Paragraphe List"/>
    <w:basedOn w:val="Paragraphedeliste"/>
    <w:rsid w:val="00AA70AB"/>
    <w:pPr>
      <w:numPr>
        <w:numId w:val="1"/>
      </w:numPr>
      <w:jc w:val="both"/>
    </w:pPr>
    <w:rPr>
      <w:rFonts w:ascii="Garamond" w:hAnsi="Garamond"/>
    </w:rPr>
  </w:style>
  <w:style w:type="paragraph" w:customStyle="1" w:styleId="Paragraphenormal">
    <w:name w:val="Paragraphe normal"/>
    <w:basedOn w:val="Paragraphedeliste"/>
    <w:link w:val="ParagraphenormalCar"/>
    <w:qFormat/>
    <w:rsid w:val="00AA70AB"/>
    <w:pPr>
      <w:jc w:val="both"/>
    </w:pPr>
    <w:rPr>
      <w:rFonts w:ascii="Garamond" w:hAnsi="Garamond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A70AB"/>
  </w:style>
  <w:style w:type="paragraph" w:customStyle="1" w:styleId="TiretList">
    <w:name w:val="Tiret List"/>
    <w:basedOn w:val="Paragraphedeliste"/>
    <w:link w:val="TiretListCar"/>
    <w:qFormat/>
    <w:rsid w:val="00AA70AB"/>
    <w:pPr>
      <w:numPr>
        <w:numId w:val="2"/>
      </w:numPr>
      <w:jc w:val="both"/>
    </w:pPr>
    <w:rPr>
      <w:rFonts w:ascii="Garamond" w:hAnsi="Garamond"/>
    </w:rPr>
  </w:style>
  <w:style w:type="character" w:customStyle="1" w:styleId="ParagraphenormalCar">
    <w:name w:val="Paragraphe normal Car"/>
    <w:basedOn w:val="ParagraphedelisteCar"/>
    <w:link w:val="Paragraphenormal"/>
    <w:rsid w:val="00AA70AB"/>
    <w:rPr>
      <w:rFonts w:ascii="Garamond" w:hAnsi="Garamond"/>
    </w:rPr>
  </w:style>
  <w:style w:type="paragraph" w:customStyle="1" w:styleId="Paragraphedeliste1">
    <w:name w:val="Paragraphe de liste1"/>
    <w:basedOn w:val="ParagrapheList"/>
    <w:link w:val="ListParagraphCar"/>
    <w:qFormat/>
    <w:rsid w:val="00AA70AB"/>
  </w:style>
  <w:style w:type="character" w:customStyle="1" w:styleId="TiretListCar">
    <w:name w:val="Tiret List Car"/>
    <w:basedOn w:val="ParagraphedelisteCar"/>
    <w:link w:val="TiretList"/>
    <w:rsid w:val="00AA70AB"/>
    <w:rPr>
      <w:rFonts w:ascii="Garamond" w:hAnsi="Garamond"/>
    </w:rPr>
  </w:style>
  <w:style w:type="character" w:customStyle="1" w:styleId="ListParagraphCar">
    <w:name w:val="List Paragraph Car"/>
    <w:basedOn w:val="Policepardfaut"/>
    <w:link w:val="Paragraphedeliste1"/>
    <w:rsid w:val="00AA70AB"/>
    <w:rPr>
      <w:rFonts w:ascii="Garamond" w:hAnsi="Garamon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558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558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588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66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6404"/>
  </w:style>
  <w:style w:type="paragraph" w:styleId="Pieddepage">
    <w:name w:val="footer"/>
    <w:basedOn w:val="Normal"/>
    <w:link w:val="PieddepageCar"/>
    <w:uiPriority w:val="99"/>
    <w:unhideWhenUsed/>
    <w:rsid w:val="00266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6404"/>
  </w:style>
  <w:style w:type="paragraph" w:styleId="Sansinterligne">
    <w:name w:val="No Spacing"/>
    <w:link w:val="SansinterligneCar"/>
    <w:uiPriority w:val="1"/>
    <w:qFormat/>
    <w:rsid w:val="00801C8E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01C8E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Bougartchev Moyne &amp; Associés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Nima HAERI</dc:creator>
  <cp:keywords/>
  <dc:description/>
  <cp:lastModifiedBy>Nima HAERI</cp:lastModifiedBy>
  <cp:revision>34</cp:revision>
  <dcterms:created xsi:type="dcterms:W3CDTF">2018-10-21T15:00:00Z</dcterms:created>
  <dcterms:modified xsi:type="dcterms:W3CDTF">2018-12-19T14:54:00Z</dcterms:modified>
</cp:coreProperties>
</file>