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70AB" w:rsidRPr="00830A28" w:rsidTr="006668B6">
        <w:tc>
          <w:tcPr>
            <w:tcW w:w="4531" w:type="dxa"/>
          </w:tcPr>
          <w:p w:rsidR="00AA70AB" w:rsidRPr="00830A28" w:rsidRDefault="00AA70AB" w:rsidP="006668B6">
            <w:pPr>
              <w:rPr>
                <w:rFonts w:ascii="Garamond" w:hAnsi="Garamond"/>
              </w:rPr>
            </w:pPr>
            <w:bookmarkStart w:id="0" w:name="_GoBack"/>
            <w:bookmarkEnd w:id="0"/>
            <w:r w:rsidRPr="00830A28">
              <w:rPr>
                <w:rFonts w:ascii="Garamond" w:hAnsi="Garamond"/>
              </w:rPr>
              <w:t xml:space="preserve">N° du Parquet : </w:t>
            </w:r>
          </w:p>
          <w:p w:rsidR="00AA70AB" w:rsidRPr="00830A28" w:rsidRDefault="00AA70AB" w:rsidP="00892C98">
            <w:pPr>
              <w:rPr>
                <w:rFonts w:ascii="Garamond" w:hAnsi="Garamond"/>
              </w:rPr>
            </w:pPr>
            <w:r w:rsidRPr="00830A28">
              <w:rPr>
                <w:rFonts w:ascii="Garamond" w:hAnsi="Garamond"/>
              </w:rPr>
              <w:t xml:space="preserve">Audience du </w:t>
            </w:r>
          </w:p>
        </w:tc>
        <w:tc>
          <w:tcPr>
            <w:tcW w:w="4531" w:type="dxa"/>
          </w:tcPr>
          <w:p w:rsidR="00AA70AB" w:rsidRPr="00830A28" w:rsidRDefault="00142F14" w:rsidP="00A774D8">
            <w:pPr>
              <w:jc w:val="right"/>
              <w:rPr>
                <w:rFonts w:ascii="Garamond" w:hAnsi="Garamond"/>
              </w:rPr>
            </w:pPr>
            <w:r w:rsidRPr="00830A28">
              <w:rPr>
                <w:rFonts w:ascii="Garamond" w:hAnsi="Garamond"/>
              </w:rPr>
              <w:t>À</w:t>
            </w:r>
            <w:r w:rsidR="00AA70AB" w:rsidRPr="00830A28">
              <w:rPr>
                <w:rFonts w:ascii="Garamond" w:hAnsi="Garamond"/>
              </w:rPr>
              <w:t xml:space="preserve"> Madame et Messieurs les </w:t>
            </w:r>
            <w:r w:rsidR="00AA70AB" w:rsidRPr="00830A28">
              <w:rPr>
                <w:rFonts w:ascii="Garamond" w:hAnsi="Garamond"/>
              </w:rPr>
              <w:br/>
              <w:t xml:space="preserve">Président et Assesseurs composant </w:t>
            </w:r>
            <w:r w:rsidR="00AA70AB" w:rsidRPr="00830A28">
              <w:rPr>
                <w:rFonts w:ascii="Garamond" w:hAnsi="Garamond"/>
              </w:rPr>
              <w:br/>
              <w:t>la 23</w:t>
            </w:r>
            <w:r w:rsidR="00AA70AB" w:rsidRPr="00830A28">
              <w:rPr>
                <w:rFonts w:ascii="Garamond" w:hAnsi="Garamond"/>
                <w:vertAlign w:val="superscript"/>
              </w:rPr>
              <w:t>e</w:t>
            </w:r>
            <w:r w:rsidR="00AA70AB" w:rsidRPr="00830A28">
              <w:rPr>
                <w:rFonts w:ascii="Garamond" w:hAnsi="Garamond"/>
              </w:rPr>
              <w:t xml:space="preserve"> Chambre correctionnelle </w:t>
            </w:r>
            <w:r w:rsidR="00AA70AB" w:rsidRPr="00830A28">
              <w:rPr>
                <w:rFonts w:ascii="Garamond" w:hAnsi="Garamond"/>
              </w:rPr>
              <w:br/>
              <w:t>du Tribunal de grande instance de Paris</w:t>
            </w:r>
          </w:p>
        </w:tc>
      </w:tr>
    </w:tbl>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jc w:val="center"/>
        <w:rPr>
          <w:rFonts w:ascii="Garamond" w:hAnsi="Garamond"/>
          <w:b/>
          <w:smallCaps/>
          <w:sz w:val="32"/>
          <w:szCs w:val="32"/>
        </w:rPr>
      </w:pPr>
      <w:r w:rsidRPr="00830A28">
        <w:rPr>
          <w:rFonts w:ascii="Garamond" w:hAnsi="Garamond"/>
          <w:b/>
          <w:smallCaps/>
          <w:sz w:val="32"/>
          <w:szCs w:val="32"/>
        </w:rPr>
        <w:t xml:space="preserve">Conclusions in </w:t>
      </w:r>
      <w:proofErr w:type="spellStart"/>
      <w:r w:rsidRPr="00830A28">
        <w:rPr>
          <w:rFonts w:ascii="Garamond" w:hAnsi="Garamond"/>
          <w:b/>
          <w:smallCaps/>
          <w:sz w:val="32"/>
          <w:szCs w:val="32"/>
        </w:rPr>
        <w:t>limine</w:t>
      </w:r>
      <w:proofErr w:type="spellEnd"/>
      <w:r w:rsidRPr="00830A28">
        <w:rPr>
          <w:rFonts w:ascii="Garamond" w:hAnsi="Garamond"/>
          <w:b/>
          <w:smallCaps/>
          <w:sz w:val="32"/>
          <w:szCs w:val="32"/>
        </w:rPr>
        <w:t xml:space="preserve"> </w:t>
      </w:r>
      <w:proofErr w:type="spellStart"/>
      <w:r w:rsidRPr="00830A28">
        <w:rPr>
          <w:rFonts w:ascii="Garamond" w:hAnsi="Garamond"/>
          <w:b/>
          <w:smallCaps/>
          <w:sz w:val="32"/>
          <w:szCs w:val="32"/>
        </w:rPr>
        <w:t>litis</w:t>
      </w:r>
      <w:proofErr w:type="spellEnd"/>
    </w:p>
    <w:p w:rsidR="00AA70AB" w:rsidRPr="00830A28" w:rsidRDefault="00AA70AB" w:rsidP="00AA70AB">
      <w:pPr>
        <w:rPr>
          <w:rFonts w:ascii="Garamond" w:hAnsi="Garamond"/>
        </w:rPr>
      </w:pPr>
    </w:p>
    <w:p w:rsidR="00AA70AB" w:rsidRPr="00830A28" w:rsidRDefault="00AA70AB" w:rsidP="00AA70AB">
      <w:pPr>
        <w:pStyle w:val="Body"/>
        <w:tabs>
          <w:tab w:val="left" w:pos="1260"/>
        </w:tabs>
        <w:ind w:left="1134" w:hanging="1134"/>
        <w:rPr>
          <w:rFonts w:ascii="Garamond" w:hAnsi="Garamond"/>
          <w:sz w:val="22"/>
          <w:szCs w:val="22"/>
        </w:rPr>
      </w:pPr>
      <w:r w:rsidRPr="00830A28">
        <w:rPr>
          <w:rFonts w:ascii="Garamond" w:hAnsi="Garamond"/>
          <w:b/>
          <w:sz w:val="22"/>
          <w:szCs w:val="22"/>
          <w:u w:val="single"/>
        </w:rPr>
        <w:t>POUR</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00801C8E" w:rsidRPr="00830A28">
        <w:rPr>
          <w:rFonts w:ascii="Garamond" w:hAnsi="Garamond"/>
          <w:b/>
          <w:sz w:val="22"/>
          <w:szCs w:val="22"/>
        </w:rPr>
        <w:t xml:space="preserve">                                  </w:t>
      </w:r>
      <w:r w:rsidRPr="00830A28">
        <w:rPr>
          <w:rFonts w:ascii="Garamond" w:hAnsi="Garamond"/>
          <w:sz w:val="22"/>
          <w:szCs w:val="22"/>
        </w:rPr>
        <w:t>, né</w:t>
      </w:r>
      <w:r w:rsidR="00801C8E" w:rsidRPr="00830A28">
        <w:rPr>
          <w:rFonts w:ascii="Garamond" w:hAnsi="Garamond"/>
          <w:sz w:val="22"/>
          <w:szCs w:val="22"/>
        </w:rPr>
        <w:t xml:space="preserve">  </w:t>
      </w:r>
      <w:r w:rsidRPr="00830A28">
        <w:rPr>
          <w:rFonts w:ascii="Garamond" w:hAnsi="Garamond"/>
          <w:sz w:val="22"/>
          <w:szCs w:val="22"/>
        </w:rPr>
        <w:t xml:space="preserve">le </w:t>
      </w:r>
      <w:r w:rsidR="00801C8E" w:rsidRPr="00830A28">
        <w:rPr>
          <w:rFonts w:ascii="Garamond" w:hAnsi="Garamond"/>
          <w:sz w:val="22"/>
          <w:szCs w:val="22"/>
        </w:rPr>
        <w:t xml:space="preserve">                          </w:t>
      </w:r>
      <w:r w:rsidRPr="00830A28">
        <w:rPr>
          <w:rFonts w:ascii="Garamond" w:hAnsi="Garamond"/>
          <w:sz w:val="22"/>
          <w:szCs w:val="22"/>
        </w:rPr>
        <w:t xml:space="preserve">à </w:t>
      </w:r>
      <w:r w:rsidR="00801C8E" w:rsidRPr="00830A28">
        <w:rPr>
          <w:rFonts w:ascii="Garamond" w:hAnsi="Garamond"/>
          <w:sz w:val="22"/>
          <w:szCs w:val="22"/>
        </w:rPr>
        <w:t xml:space="preserve">                              </w:t>
      </w:r>
    </w:p>
    <w:p w:rsidR="00AA70AB" w:rsidRPr="00830A28" w:rsidRDefault="00AA70AB" w:rsidP="00AA70AB">
      <w:pPr>
        <w:pStyle w:val="Body"/>
        <w:tabs>
          <w:tab w:val="left" w:pos="1134"/>
        </w:tabs>
        <w:ind w:left="1134" w:hanging="1260"/>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134" w:hanging="1260"/>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968" w:hanging="1260"/>
        <w:jc w:val="right"/>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Ci-après, le « </w:t>
      </w:r>
      <w:r w:rsidRPr="00830A28">
        <w:rPr>
          <w:rFonts w:ascii="Garamond" w:hAnsi="Garamond"/>
          <w:b/>
          <w:sz w:val="22"/>
          <w:szCs w:val="22"/>
        </w:rPr>
        <w:t>Concluant</w:t>
      </w:r>
      <w:r w:rsidRPr="00830A28">
        <w:rPr>
          <w:rFonts w:ascii="Garamond" w:hAnsi="Garamond"/>
          <w:sz w:val="22"/>
          <w:szCs w:val="22"/>
        </w:rPr>
        <w:t> »,</w:t>
      </w:r>
    </w:p>
    <w:p w:rsidR="00AA70AB" w:rsidRPr="00830A28" w:rsidRDefault="00AA70AB" w:rsidP="00AA70AB">
      <w:pPr>
        <w:pStyle w:val="Body"/>
        <w:tabs>
          <w:tab w:val="left" w:pos="1134"/>
        </w:tabs>
        <w:ind w:left="1134" w:hanging="1260"/>
        <w:rPr>
          <w:rFonts w:ascii="Garamond" w:hAnsi="Garamond"/>
          <w:i/>
          <w:sz w:val="22"/>
          <w:szCs w:val="22"/>
        </w:rPr>
      </w:pPr>
      <w:r w:rsidRPr="00830A28">
        <w:rPr>
          <w:rFonts w:ascii="Garamond" w:hAnsi="Garamond"/>
          <w:sz w:val="22"/>
          <w:szCs w:val="22"/>
        </w:rPr>
        <w:tab/>
      </w:r>
    </w:p>
    <w:p w:rsidR="00AA70AB" w:rsidRPr="00830A28" w:rsidRDefault="00AA70AB" w:rsidP="00AA70AB">
      <w:pPr>
        <w:pStyle w:val="Body"/>
        <w:tabs>
          <w:tab w:val="left" w:pos="1260"/>
        </w:tabs>
        <w:spacing w:after="0"/>
        <w:ind w:left="3958"/>
        <w:rPr>
          <w:rFonts w:ascii="Garamond" w:hAnsi="Garamond"/>
          <w:b/>
          <w:sz w:val="22"/>
          <w:szCs w:val="22"/>
        </w:rPr>
      </w:pPr>
      <w:r w:rsidRPr="00830A28">
        <w:rPr>
          <w:rFonts w:ascii="Garamond" w:hAnsi="Garamond"/>
          <w:b/>
          <w:sz w:val="22"/>
          <w:szCs w:val="22"/>
          <w:u w:val="single"/>
        </w:rPr>
        <w:t>Ayant pour Avocat</w:t>
      </w:r>
      <w:r w:rsidRPr="00830A28">
        <w:rPr>
          <w:rFonts w:ascii="Garamond" w:hAnsi="Garamond"/>
          <w:b/>
          <w:sz w:val="22"/>
          <w:szCs w:val="22"/>
        </w:rPr>
        <w:t> :</w:t>
      </w: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rPr>
      </w:pPr>
      <w:r w:rsidRPr="00830A28">
        <w:rPr>
          <w:rFonts w:ascii="Garamond" w:hAnsi="Garamond"/>
          <w:b/>
          <w:sz w:val="22"/>
          <w:szCs w:val="22"/>
          <w:u w:val="single"/>
        </w:rPr>
        <w:t>CONTRE</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Pr="00830A28">
        <w:rPr>
          <w:rFonts w:ascii="Garamond" w:hAnsi="Garamond"/>
          <w:b/>
          <w:bCs/>
          <w:sz w:val="22"/>
          <w:szCs w:val="22"/>
        </w:rPr>
        <w:t>le Ministère public</w:t>
      </w:r>
      <w:r w:rsidRPr="00830A28">
        <w:rPr>
          <w:rFonts w:ascii="Garamond" w:hAnsi="Garamond"/>
          <w:b/>
          <w:sz w:val="22"/>
          <w:szCs w:val="22"/>
        </w:rPr>
        <w:t xml:space="preserve"> </w:t>
      </w:r>
      <w:r w:rsidRPr="00830A28">
        <w:rPr>
          <w:rFonts w:ascii="Garamond" w:hAnsi="Garamond"/>
        </w:rPr>
        <w:br w:type="page"/>
      </w:r>
    </w:p>
    <w:p w:rsidR="00AA70AB" w:rsidRPr="00A83561" w:rsidRDefault="00AA70AB" w:rsidP="00A83561">
      <w:pPr>
        <w:spacing w:line="276" w:lineRule="auto"/>
        <w:jc w:val="center"/>
        <w:rPr>
          <w:rFonts w:ascii="Garamond" w:hAnsi="Garamond"/>
          <w:b/>
          <w:smallCaps/>
          <w:sz w:val="23"/>
          <w:szCs w:val="23"/>
        </w:rPr>
      </w:pPr>
      <w:r w:rsidRPr="00A83561">
        <w:rPr>
          <w:rFonts w:ascii="Garamond" w:hAnsi="Garamond"/>
          <w:b/>
          <w:smallCaps/>
          <w:sz w:val="23"/>
          <w:szCs w:val="23"/>
        </w:rPr>
        <w:lastRenderedPageBreak/>
        <w:t xml:space="preserve">Plaise </w:t>
      </w:r>
      <w:r w:rsidR="00654F07" w:rsidRPr="00A83561">
        <w:rPr>
          <w:rFonts w:ascii="Garamond" w:hAnsi="Garamond"/>
          <w:b/>
          <w:smallCaps/>
          <w:sz w:val="23"/>
          <w:szCs w:val="23"/>
        </w:rPr>
        <w:t>a</w:t>
      </w:r>
      <w:r w:rsidRPr="00A83561">
        <w:rPr>
          <w:rFonts w:ascii="Garamond" w:hAnsi="Garamond"/>
          <w:b/>
          <w:smallCaps/>
          <w:sz w:val="23"/>
          <w:szCs w:val="23"/>
        </w:rPr>
        <w:t xml:space="preserve">u Tribunal </w:t>
      </w:r>
    </w:p>
    <w:p w:rsidR="00AA70AB" w:rsidRPr="00A83561" w:rsidRDefault="00AA70AB" w:rsidP="00A83561">
      <w:pPr>
        <w:spacing w:line="276" w:lineRule="auto"/>
        <w:rPr>
          <w:rFonts w:ascii="Garamond" w:hAnsi="Garamond"/>
          <w:sz w:val="23"/>
          <w:szCs w:val="23"/>
        </w:rPr>
      </w:pPr>
    </w:p>
    <w:p w:rsidR="00AA70AB" w:rsidRPr="00A83561" w:rsidRDefault="00C60DE2" w:rsidP="00A83561">
      <w:pPr>
        <w:pStyle w:val="Paragraphedeliste1"/>
        <w:spacing w:line="276" w:lineRule="auto"/>
        <w:rPr>
          <w:sz w:val="23"/>
          <w:szCs w:val="23"/>
        </w:rPr>
      </w:pPr>
      <w:r w:rsidRPr="00A83561">
        <w:rPr>
          <w:sz w:val="23"/>
          <w:szCs w:val="23"/>
        </w:rPr>
        <w:t>Le Concluant</w:t>
      </w:r>
      <w:r w:rsidR="00AA70AB" w:rsidRPr="00A83561">
        <w:rPr>
          <w:sz w:val="23"/>
          <w:szCs w:val="23"/>
        </w:rPr>
        <w:t xml:space="preserve"> </w:t>
      </w:r>
      <w:r w:rsidR="004B3272" w:rsidRPr="00A83561">
        <w:rPr>
          <w:sz w:val="23"/>
          <w:szCs w:val="23"/>
        </w:rPr>
        <w:t xml:space="preserve">est renvoyé devant la juridiction de céans pour des faits de </w:t>
      </w:r>
    </w:p>
    <w:p w:rsidR="004B3272" w:rsidRPr="00A83561" w:rsidRDefault="004B3272" w:rsidP="00A83561">
      <w:pPr>
        <w:pStyle w:val="Paragraphedeliste1"/>
        <w:numPr>
          <w:ilvl w:val="0"/>
          <w:numId w:val="0"/>
        </w:numPr>
        <w:spacing w:line="276" w:lineRule="auto"/>
        <w:ind w:left="720" w:hanging="360"/>
        <w:rPr>
          <w:sz w:val="23"/>
          <w:szCs w:val="23"/>
        </w:rPr>
      </w:pPr>
    </w:p>
    <w:p w:rsidR="004B3272" w:rsidRPr="00A83561" w:rsidRDefault="004B3272" w:rsidP="00A83561">
      <w:pPr>
        <w:pStyle w:val="Paragraphedeliste1"/>
        <w:numPr>
          <w:ilvl w:val="0"/>
          <w:numId w:val="0"/>
        </w:numPr>
        <w:spacing w:line="276" w:lineRule="auto"/>
        <w:ind w:left="720" w:hanging="360"/>
        <w:rPr>
          <w:sz w:val="23"/>
          <w:szCs w:val="23"/>
        </w:rPr>
      </w:pPr>
    </w:p>
    <w:p w:rsidR="004B3272" w:rsidRPr="00A83561" w:rsidRDefault="004B3272" w:rsidP="00A83561">
      <w:pPr>
        <w:pStyle w:val="Paragraphedeliste1"/>
        <w:numPr>
          <w:ilvl w:val="0"/>
          <w:numId w:val="0"/>
        </w:numPr>
        <w:spacing w:line="276" w:lineRule="auto"/>
        <w:ind w:left="720" w:hanging="360"/>
        <w:rPr>
          <w:sz w:val="23"/>
          <w:szCs w:val="23"/>
        </w:rPr>
      </w:pPr>
    </w:p>
    <w:p w:rsidR="004B3272" w:rsidRPr="00A83561" w:rsidRDefault="004B3272" w:rsidP="00A83561">
      <w:pPr>
        <w:pStyle w:val="Paragraphedeliste1"/>
        <w:numPr>
          <w:ilvl w:val="0"/>
          <w:numId w:val="0"/>
        </w:numPr>
        <w:spacing w:line="276" w:lineRule="auto"/>
        <w:ind w:left="720" w:hanging="360"/>
        <w:rPr>
          <w:sz w:val="23"/>
          <w:szCs w:val="23"/>
        </w:rPr>
      </w:pPr>
    </w:p>
    <w:p w:rsidR="00AA70AB" w:rsidRPr="00A83561" w:rsidRDefault="001126B0" w:rsidP="00A83561">
      <w:pPr>
        <w:pStyle w:val="Paragraphenormal"/>
        <w:spacing w:line="276" w:lineRule="auto"/>
        <w:rPr>
          <w:sz w:val="23"/>
          <w:szCs w:val="23"/>
        </w:rPr>
      </w:pPr>
      <w:r w:rsidRPr="00A83561">
        <w:rPr>
          <w:sz w:val="23"/>
          <w:szCs w:val="23"/>
        </w:rPr>
        <w:t xml:space="preserve">Il reste que </w:t>
      </w:r>
      <w:r w:rsidR="00C60DE2" w:rsidRPr="00A83561">
        <w:rPr>
          <w:sz w:val="23"/>
          <w:szCs w:val="23"/>
        </w:rPr>
        <w:t>le Concluant</w:t>
      </w:r>
      <w:r w:rsidR="008F0D68" w:rsidRPr="00A83561">
        <w:rPr>
          <w:sz w:val="23"/>
          <w:szCs w:val="23"/>
        </w:rPr>
        <w:t xml:space="preserve"> n’est pas majeur, si bien que le Tribunal se déclarera incompétent et ordonnera sa mise en liberté immédiate</w:t>
      </w:r>
      <w:r w:rsidR="00653FB6" w:rsidRPr="00A83561">
        <w:rPr>
          <w:sz w:val="23"/>
          <w:szCs w:val="23"/>
        </w:rPr>
        <w:t>.</w:t>
      </w:r>
    </w:p>
    <w:p w:rsidR="000C7E06" w:rsidRPr="00A83561" w:rsidRDefault="000C7E06" w:rsidP="00A83561">
      <w:pPr>
        <w:pStyle w:val="Paragraphenormal"/>
        <w:spacing w:line="276" w:lineRule="auto"/>
        <w:rPr>
          <w:sz w:val="23"/>
          <w:szCs w:val="23"/>
        </w:rPr>
      </w:pPr>
    </w:p>
    <w:p w:rsidR="000C7E06" w:rsidRPr="00A83561" w:rsidRDefault="000C7E06" w:rsidP="00A83561">
      <w:pPr>
        <w:pStyle w:val="Paragraphenormal"/>
        <w:spacing w:line="276" w:lineRule="auto"/>
        <w:rPr>
          <w:sz w:val="23"/>
          <w:szCs w:val="23"/>
        </w:rPr>
      </w:pPr>
    </w:p>
    <w:p w:rsidR="000C7E06" w:rsidRPr="00A83561" w:rsidRDefault="000C7E06" w:rsidP="00A83561">
      <w:pPr>
        <w:pStyle w:val="Paragraphenormal"/>
        <w:numPr>
          <w:ilvl w:val="0"/>
          <w:numId w:val="7"/>
        </w:numPr>
        <w:spacing w:line="276" w:lineRule="auto"/>
        <w:rPr>
          <w:b/>
          <w:sz w:val="23"/>
          <w:szCs w:val="23"/>
          <w:u w:val="single"/>
        </w:rPr>
      </w:pPr>
      <w:r w:rsidRPr="00A83561">
        <w:rPr>
          <w:b/>
          <w:sz w:val="23"/>
          <w:szCs w:val="23"/>
          <w:u w:val="single"/>
        </w:rPr>
        <w:t>Rappel des faits et de la procédure</w:t>
      </w:r>
    </w:p>
    <w:p w:rsidR="000C7E06" w:rsidRPr="00A83561" w:rsidRDefault="000C7E06" w:rsidP="00A83561">
      <w:pPr>
        <w:pStyle w:val="Paragraphedeliste1"/>
        <w:numPr>
          <w:ilvl w:val="0"/>
          <w:numId w:val="0"/>
        </w:numPr>
        <w:spacing w:line="276" w:lineRule="auto"/>
        <w:ind w:left="720"/>
        <w:rPr>
          <w:sz w:val="23"/>
          <w:szCs w:val="23"/>
        </w:rPr>
      </w:pPr>
    </w:p>
    <w:p w:rsidR="000C7E06" w:rsidRPr="00A83561" w:rsidRDefault="000C7E06" w:rsidP="00A83561">
      <w:pPr>
        <w:pStyle w:val="Paragraphedeliste1"/>
        <w:spacing w:line="276" w:lineRule="auto"/>
        <w:rPr>
          <w:sz w:val="23"/>
          <w:szCs w:val="23"/>
        </w:rPr>
      </w:pPr>
      <w:r w:rsidRPr="00A83561">
        <w:rPr>
          <w:sz w:val="23"/>
          <w:szCs w:val="23"/>
        </w:rPr>
        <w:t xml:space="preserve"> </w:t>
      </w:r>
    </w:p>
    <w:p w:rsidR="000C7E06" w:rsidRPr="00A83561" w:rsidRDefault="000C7E06" w:rsidP="00A83561">
      <w:pPr>
        <w:pStyle w:val="Paragraphedeliste1"/>
        <w:numPr>
          <w:ilvl w:val="0"/>
          <w:numId w:val="0"/>
        </w:numPr>
        <w:spacing w:line="276" w:lineRule="auto"/>
        <w:ind w:left="720"/>
        <w:rPr>
          <w:sz w:val="23"/>
          <w:szCs w:val="23"/>
        </w:rPr>
      </w:pPr>
    </w:p>
    <w:p w:rsidR="00F645EA" w:rsidRPr="00A83561" w:rsidRDefault="00F645EA"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A774D8" w:rsidRPr="00A83561" w:rsidRDefault="00A774D8" w:rsidP="00A83561">
      <w:pPr>
        <w:pStyle w:val="Paragraphedeliste1"/>
        <w:numPr>
          <w:ilvl w:val="0"/>
          <w:numId w:val="0"/>
        </w:numPr>
        <w:spacing w:line="276" w:lineRule="auto"/>
        <w:ind w:left="720"/>
        <w:rPr>
          <w:sz w:val="23"/>
          <w:szCs w:val="23"/>
        </w:rPr>
      </w:pPr>
    </w:p>
    <w:p w:rsidR="009E17EB" w:rsidRPr="00A83561" w:rsidRDefault="009E17EB" w:rsidP="00A83561">
      <w:pPr>
        <w:spacing w:line="276" w:lineRule="auto"/>
        <w:rPr>
          <w:rFonts w:ascii="Garamond" w:hAnsi="Garamond"/>
          <w:b/>
          <w:sz w:val="23"/>
          <w:szCs w:val="23"/>
          <w:u w:val="single"/>
        </w:rPr>
      </w:pPr>
      <w:r w:rsidRPr="00A83561">
        <w:rPr>
          <w:b/>
          <w:sz w:val="23"/>
          <w:szCs w:val="23"/>
          <w:u w:val="single"/>
        </w:rPr>
        <w:br w:type="page"/>
      </w:r>
    </w:p>
    <w:p w:rsidR="00F645EA" w:rsidRPr="00A83561" w:rsidRDefault="00F645EA" w:rsidP="00A83561">
      <w:pPr>
        <w:pStyle w:val="Paragraphenormal"/>
        <w:numPr>
          <w:ilvl w:val="0"/>
          <w:numId w:val="7"/>
        </w:numPr>
        <w:spacing w:line="276" w:lineRule="auto"/>
        <w:rPr>
          <w:b/>
          <w:sz w:val="23"/>
          <w:szCs w:val="23"/>
          <w:u w:val="single"/>
        </w:rPr>
      </w:pPr>
      <w:r w:rsidRPr="00A83561">
        <w:rPr>
          <w:b/>
          <w:sz w:val="23"/>
          <w:szCs w:val="23"/>
          <w:u w:val="single"/>
        </w:rPr>
        <w:lastRenderedPageBreak/>
        <w:t>Discussion</w:t>
      </w:r>
    </w:p>
    <w:p w:rsidR="00F645EA" w:rsidRPr="00A83561" w:rsidRDefault="00F645EA" w:rsidP="00A83561">
      <w:pPr>
        <w:pStyle w:val="Paragraphenormal"/>
        <w:spacing w:line="276" w:lineRule="auto"/>
        <w:ind w:left="1440"/>
        <w:rPr>
          <w:b/>
          <w:sz w:val="23"/>
          <w:szCs w:val="23"/>
          <w:u w:val="single"/>
        </w:rPr>
      </w:pPr>
    </w:p>
    <w:p w:rsidR="00F645EA" w:rsidRPr="00A83561" w:rsidRDefault="00F645EA" w:rsidP="00A83561">
      <w:pPr>
        <w:pStyle w:val="Paragraphenormal"/>
        <w:numPr>
          <w:ilvl w:val="1"/>
          <w:numId w:val="7"/>
        </w:numPr>
        <w:spacing w:line="276" w:lineRule="auto"/>
        <w:rPr>
          <w:b/>
          <w:sz w:val="23"/>
          <w:szCs w:val="23"/>
        </w:rPr>
      </w:pPr>
      <w:r w:rsidRPr="00A83561">
        <w:rPr>
          <w:b/>
          <w:sz w:val="23"/>
          <w:szCs w:val="23"/>
        </w:rPr>
        <w:t xml:space="preserve">Sur le </w:t>
      </w:r>
      <w:r w:rsidR="009E17EB" w:rsidRPr="00A83561">
        <w:rPr>
          <w:b/>
          <w:sz w:val="23"/>
          <w:szCs w:val="23"/>
        </w:rPr>
        <w:t>droit applicable</w:t>
      </w:r>
    </w:p>
    <w:p w:rsidR="009E17EB" w:rsidRPr="00A83561" w:rsidRDefault="009E17EB" w:rsidP="00A83561">
      <w:pPr>
        <w:pStyle w:val="Paragraphedeliste1"/>
        <w:spacing w:line="276" w:lineRule="auto"/>
        <w:rPr>
          <w:sz w:val="23"/>
          <w:szCs w:val="23"/>
        </w:rPr>
      </w:pPr>
      <w:r w:rsidRPr="00A83561">
        <w:rPr>
          <w:sz w:val="23"/>
          <w:szCs w:val="23"/>
        </w:rPr>
        <w:t>L’article 1</w:t>
      </w:r>
      <w:r w:rsidRPr="00A83561">
        <w:rPr>
          <w:sz w:val="23"/>
          <w:szCs w:val="23"/>
          <w:vertAlign w:val="superscript"/>
        </w:rPr>
        <w:t>er</w:t>
      </w:r>
      <w:r w:rsidRPr="00A83561">
        <w:rPr>
          <w:sz w:val="23"/>
          <w:szCs w:val="23"/>
        </w:rPr>
        <w:t xml:space="preserve"> de l’ordonnance du 2 février 1945 relative à l’enfance délinquante prévoit que : </w:t>
      </w:r>
    </w:p>
    <w:p w:rsidR="009E17EB" w:rsidRPr="00A83561" w:rsidRDefault="009E17EB" w:rsidP="00A83561">
      <w:pPr>
        <w:pStyle w:val="Paragraphedeliste1"/>
        <w:numPr>
          <w:ilvl w:val="0"/>
          <w:numId w:val="0"/>
        </w:numPr>
        <w:spacing w:line="276" w:lineRule="auto"/>
        <w:ind w:left="720"/>
        <w:rPr>
          <w:sz w:val="23"/>
          <w:szCs w:val="23"/>
        </w:rPr>
      </w:pPr>
    </w:p>
    <w:p w:rsidR="009E17EB" w:rsidRPr="00A83561" w:rsidRDefault="009E17EB" w:rsidP="00A83561">
      <w:pPr>
        <w:pStyle w:val="Paragraphedeliste1"/>
        <w:numPr>
          <w:ilvl w:val="0"/>
          <w:numId w:val="0"/>
        </w:numPr>
        <w:spacing w:line="276" w:lineRule="auto"/>
        <w:ind w:left="1416"/>
        <w:rPr>
          <w:sz w:val="23"/>
          <w:szCs w:val="23"/>
        </w:rPr>
      </w:pPr>
      <w:r w:rsidRPr="00A83561">
        <w:rPr>
          <w:sz w:val="23"/>
          <w:szCs w:val="23"/>
        </w:rPr>
        <w:t xml:space="preserve">« </w:t>
      </w:r>
      <w:r w:rsidRPr="00A83561">
        <w:rPr>
          <w:i/>
          <w:sz w:val="23"/>
          <w:szCs w:val="23"/>
        </w:rPr>
        <w:t xml:space="preserve">Les mineurs auxquels est imputée une infraction qualifiée </w:t>
      </w:r>
      <w:r w:rsidR="00F21F91" w:rsidRPr="00A83561">
        <w:rPr>
          <w:i/>
          <w:sz w:val="23"/>
          <w:szCs w:val="23"/>
        </w:rPr>
        <w:t xml:space="preserve">de </w:t>
      </w:r>
      <w:r w:rsidRPr="00A83561">
        <w:rPr>
          <w:i/>
          <w:sz w:val="23"/>
          <w:szCs w:val="23"/>
        </w:rPr>
        <w:t xml:space="preserve">crime ou </w:t>
      </w:r>
      <w:r w:rsidR="00F21F91" w:rsidRPr="00A83561">
        <w:rPr>
          <w:i/>
          <w:sz w:val="23"/>
          <w:szCs w:val="23"/>
        </w:rPr>
        <w:t xml:space="preserve">de </w:t>
      </w:r>
      <w:r w:rsidRPr="00A83561">
        <w:rPr>
          <w:i/>
          <w:sz w:val="23"/>
          <w:szCs w:val="23"/>
        </w:rPr>
        <w:t>délit ne seront pas déférées aux juridictions pénales de droit commun et ne seront justiciables que des tribunaux pour enfants ou des cours d’assises des mineurs</w:t>
      </w:r>
      <w:r w:rsidRPr="00A83561">
        <w:rPr>
          <w:sz w:val="23"/>
          <w:szCs w:val="23"/>
        </w:rPr>
        <w:t xml:space="preserve"> ».</w:t>
      </w:r>
    </w:p>
    <w:p w:rsidR="009E17EB" w:rsidRPr="00A83561" w:rsidRDefault="009E17EB" w:rsidP="00A83561">
      <w:pPr>
        <w:pStyle w:val="Paragraphedeliste1"/>
        <w:numPr>
          <w:ilvl w:val="0"/>
          <w:numId w:val="0"/>
        </w:numPr>
        <w:spacing w:line="276" w:lineRule="auto"/>
        <w:ind w:left="720"/>
        <w:rPr>
          <w:sz w:val="23"/>
          <w:szCs w:val="23"/>
        </w:rPr>
      </w:pPr>
    </w:p>
    <w:p w:rsidR="00F21F91" w:rsidRPr="00A83561" w:rsidRDefault="00F21F91" w:rsidP="00A83561">
      <w:pPr>
        <w:pStyle w:val="Paragraphedeliste1"/>
        <w:numPr>
          <w:ilvl w:val="0"/>
          <w:numId w:val="0"/>
        </w:numPr>
        <w:spacing w:line="276" w:lineRule="auto"/>
        <w:ind w:left="720"/>
        <w:rPr>
          <w:sz w:val="23"/>
          <w:szCs w:val="23"/>
        </w:rPr>
      </w:pPr>
      <w:r w:rsidRPr="00A83561">
        <w:rPr>
          <w:sz w:val="23"/>
          <w:szCs w:val="23"/>
        </w:rPr>
        <w:t>L’article 5 de cette ordonnance précise que :</w:t>
      </w:r>
    </w:p>
    <w:p w:rsidR="00F21F91" w:rsidRPr="00A83561" w:rsidRDefault="00F21F91" w:rsidP="00A83561">
      <w:pPr>
        <w:pStyle w:val="Paragraphedeliste1"/>
        <w:numPr>
          <w:ilvl w:val="0"/>
          <w:numId w:val="0"/>
        </w:numPr>
        <w:spacing w:line="276" w:lineRule="auto"/>
        <w:ind w:left="720"/>
        <w:rPr>
          <w:sz w:val="23"/>
          <w:szCs w:val="23"/>
        </w:rPr>
      </w:pPr>
    </w:p>
    <w:p w:rsidR="00F21F91" w:rsidRPr="00A83561" w:rsidRDefault="00F21F91" w:rsidP="00A83561">
      <w:pPr>
        <w:pStyle w:val="Paragraphedeliste1"/>
        <w:numPr>
          <w:ilvl w:val="0"/>
          <w:numId w:val="0"/>
        </w:numPr>
        <w:spacing w:line="276" w:lineRule="auto"/>
        <w:ind w:left="1416"/>
        <w:rPr>
          <w:i/>
          <w:sz w:val="23"/>
          <w:szCs w:val="23"/>
        </w:rPr>
      </w:pPr>
      <w:r w:rsidRPr="00A83561">
        <w:rPr>
          <w:sz w:val="23"/>
          <w:szCs w:val="23"/>
        </w:rPr>
        <w:t xml:space="preserve">« (…) </w:t>
      </w:r>
      <w:r w:rsidRPr="00A83561">
        <w:rPr>
          <w:i/>
          <w:sz w:val="23"/>
          <w:szCs w:val="23"/>
        </w:rPr>
        <w:t>En cas de délit ou de contravention de la cinquième classe, le procureur de la République en saisira, soit le juge d'instruction, soit par voie de requête le juge des enfants et, à Paris, le président du tribunal pour enfants. En cas de délit, il pourra également saisir le tribunal pour enfants conformément à la procédure de présentation immédiate devant la juridiction pour mineurs prévue par l'article 14-2 ou par la procédure de convocation en justice prévue à l'article 8-3 ;</w:t>
      </w:r>
    </w:p>
    <w:p w:rsidR="00F21F91" w:rsidRPr="00A83561" w:rsidRDefault="00F21F91" w:rsidP="00A83561">
      <w:pPr>
        <w:pStyle w:val="Paragraphedeliste1"/>
        <w:numPr>
          <w:ilvl w:val="0"/>
          <w:numId w:val="0"/>
        </w:numPr>
        <w:spacing w:line="276" w:lineRule="auto"/>
        <w:ind w:left="1416"/>
        <w:rPr>
          <w:sz w:val="23"/>
          <w:szCs w:val="23"/>
        </w:rPr>
      </w:pPr>
    </w:p>
    <w:p w:rsidR="00F21F91" w:rsidRPr="00A83561" w:rsidRDefault="00F21F91" w:rsidP="00A83561">
      <w:pPr>
        <w:pStyle w:val="Paragraphedeliste1"/>
        <w:numPr>
          <w:ilvl w:val="0"/>
          <w:numId w:val="0"/>
        </w:numPr>
        <w:spacing w:line="276" w:lineRule="auto"/>
        <w:ind w:left="1416"/>
        <w:rPr>
          <w:sz w:val="23"/>
          <w:szCs w:val="23"/>
        </w:rPr>
      </w:pPr>
      <w:r w:rsidRPr="00A83561">
        <w:rPr>
          <w:i/>
          <w:sz w:val="23"/>
          <w:szCs w:val="23"/>
        </w:rPr>
        <w:t xml:space="preserve">Le procureur de la République pourra également donner instruction à un officier ou un agent de police judiciaire de notifier au mineur contre lequel il existe des charges suffisantes d'avoir commis un délit ou une contravention de la cinquième classe une convocation à comparaître devant le juge des enfants qui en sera immédiatement avisé aux fins d'application de l'article 8-1. Cette convocation vaut citation à personne et entraîne l'application des délais prévus à l'article 552 du code de procédure pénale. </w:t>
      </w:r>
      <w:r w:rsidRPr="00A83561">
        <w:rPr>
          <w:sz w:val="23"/>
          <w:szCs w:val="23"/>
        </w:rPr>
        <w:t>(…)</w:t>
      </w:r>
    </w:p>
    <w:p w:rsidR="00F21F91" w:rsidRPr="00A83561" w:rsidRDefault="00F21F91" w:rsidP="00A83561">
      <w:pPr>
        <w:pStyle w:val="Paragraphedeliste1"/>
        <w:numPr>
          <w:ilvl w:val="0"/>
          <w:numId w:val="0"/>
        </w:numPr>
        <w:spacing w:line="276" w:lineRule="auto"/>
        <w:ind w:left="1416"/>
        <w:rPr>
          <w:i/>
          <w:sz w:val="23"/>
          <w:szCs w:val="23"/>
        </w:rPr>
      </w:pPr>
    </w:p>
    <w:p w:rsidR="00F21F91" w:rsidRPr="00A83561" w:rsidRDefault="00F21F91" w:rsidP="00A83561">
      <w:pPr>
        <w:pStyle w:val="Paragraphedeliste1"/>
        <w:numPr>
          <w:ilvl w:val="0"/>
          <w:numId w:val="0"/>
        </w:numPr>
        <w:spacing w:line="276" w:lineRule="auto"/>
        <w:ind w:left="1416"/>
        <w:rPr>
          <w:sz w:val="23"/>
          <w:szCs w:val="23"/>
        </w:rPr>
      </w:pPr>
      <w:r w:rsidRPr="00A83561">
        <w:rPr>
          <w:i/>
          <w:sz w:val="23"/>
          <w:szCs w:val="23"/>
        </w:rPr>
        <w:t>En aucun cas, il ne pourra être suivi contre le mineur par les procédures prévues aux articles 393 à 396 du code de procédure pénale ou par voie de citation directe</w:t>
      </w:r>
      <w:r w:rsidRPr="00A83561">
        <w:rPr>
          <w:sz w:val="23"/>
          <w:szCs w:val="23"/>
        </w:rPr>
        <w:t>. (…) ».</w:t>
      </w:r>
    </w:p>
    <w:p w:rsidR="00F21F91" w:rsidRPr="00A83561" w:rsidRDefault="00F21F91" w:rsidP="00A83561">
      <w:pPr>
        <w:pStyle w:val="Paragraphedeliste1"/>
        <w:numPr>
          <w:ilvl w:val="0"/>
          <w:numId w:val="0"/>
        </w:numPr>
        <w:spacing w:line="276" w:lineRule="auto"/>
        <w:ind w:left="720"/>
        <w:rPr>
          <w:sz w:val="23"/>
          <w:szCs w:val="23"/>
        </w:rPr>
      </w:pPr>
    </w:p>
    <w:p w:rsidR="009E17EB" w:rsidRPr="00A83561" w:rsidRDefault="00F21F91" w:rsidP="00A83561">
      <w:pPr>
        <w:pStyle w:val="Paragraphedeliste1"/>
        <w:spacing w:line="276" w:lineRule="auto"/>
        <w:rPr>
          <w:sz w:val="23"/>
          <w:szCs w:val="23"/>
        </w:rPr>
      </w:pPr>
      <w:r w:rsidRPr="00A83561">
        <w:rPr>
          <w:sz w:val="23"/>
          <w:szCs w:val="23"/>
        </w:rPr>
        <w:t>C’est bien pourquoi</w:t>
      </w:r>
      <w:r w:rsidR="009E17EB" w:rsidRPr="00A83561">
        <w:rPr>
          <w:sz w:val="23"/>
          <w:szCs w:val="23"/>
        </w:rPr>
        <w:t xml:space="preserve"> l’article 397-6 du code de procédure pénale (</w:t>
      </w:r>
      <w:r w:rsidRPr="00A83561">
        <w:rPr>
          <w:sz w:val="23"/>
          <w:szCs w:val="23"/>
        </w:rPr>
        <w:t>« </w:t>
      </w:r>
      <w:r w:rsidR="009E17EB" w:rsidRPr="00A83561">
        <w:rPr>
          <w:b/>
          <w:sz w:val="23"/>
          <w:szCs w:val="23"/>
        </w:rPr>
        <w:t>CPP</w:t>
      </w:r>
      <w:r w:rsidRPr="00A83561">
        <w:rPr>
          <w:sz w:val="23"/>
          <w:szCs w:val="23"/>
        </w:rPr>
        <w:t> »</w:t>
      </w:r>
      <w:r w:rsidR="009E17EB" w:rsidRPr="00A83561">
        <w:rPr>
          <w:sz w:val="23"/>
          <w:szCs w:val="23"/>
        </w:rPr>
        <w:t>)</w:t>
      </w:r>
      <w:r w:rsidRPr="00A83561">
        <w:rPr>
          <w:sz w:val="23"/>
          <w:szCs w:val="23"/>
        </w:rPr>
        <w:t xml:space="preserve"> précise que l</w:t>
      </w:r>
      <w:r w:rsidR="009E17EB" w:rsidRPr="00A83561">
        <w:rPr>
          <w:sz w:val="23"/>
          <w:szCs w:val="23"/>
        </w:rPr>
        <w:t xml:space="preserve">es articles 393 à 397-5 du </w:t>
      </w:r>
      <w:r w:rsidRPr="00A83561">
        <w:rPr>
          <w:sz w:val="23"/>
          <w:szCs w:val="23"/>
        </w:rPr>
        <w:t>même code</w:t>
      </w:r>
      <w:r w:rsidR="00C60DE2" w:rsidRPr="00A83561">
        <w:rPr>
          <w:sz w:val="23"/>
          <w:szCs w:val="23"/>
        </w:rPr>
        <w:t xml:space="preserve"> et</w:t>
      </w:r>
      <w:r w:rsidR="009E17EB" w:rsidRPr="00A83561">
        <w:rPr>
          <w:sz w:val="23"/>
          <w:szCs w:val="23"/>
        </w:rPr>
        <w:t xml:space="preserve"> </w:t>
      </w:r>
      <w:r w:rsidRPr="00A83561">
        <w:rPr>
          <w:sz w:val="23"/>
          <w:szCs w:val="23"/>
        </w:rPr>
        <w:t xml:space="preserve">relatifs à la </w:t>
      </w:r>
      <w:r w:rsidR="009E17EB" w:rsidRPr="00A83561">
        <w:rPr>
          <w:sz w:val="23"/>
          <w:szCs w:val="23"/>
        </w:rPr>
        <w:t>procédure de comparution immédiate</w:t>
      </w:r>
    </w:p>
    <w:p w:rsidR="009E17EB" w:rsidRPr="00A83561" w:rsidRDefault="009E17EB" w:rsidP="00A83561">
      <w:pPr>
        <w:pStyle w:val="Paragraphedeliste1"/>
        <w:numPr>
          <w:ilvl w:val="0"/>
          <w:numId w:val="0"/>
        </w:numPr>
        <w:spacing w:line="276" w:lineRule="auto"/>
        <w:ind w:left="720"/>
        <w:rPr>
          <w:sz w:val="23"/>
          <w:szCs w:val="23"/>
        </w:rPr>
      </w:pPr>
    </w:p>
    <w:p w:rsidR="009E17EB" w:rsidRPr="00A83561" w:rsidRDefault="009E17EB" w:rsidP="00A83561">
      <w:pPr>
        <w:pStyle w:val="Paragraphedeliste1"/>
        <w:numPr>
          <w:ilvl w:val="0"/>
          <w:numId w:val="0"/>
        </w:numPr>
        <w:spacing w:line="276" w:lineRule="auto"/>
        <w:ind w:left="1416"/>
        <w:rPr>
          <w:sz w:val="23"/>
          <w:szCs w:val="23"/>
        </w:rPr>
      </w:pPr>
      <w:r w:rsidRPr="00A83561">
        <w:rPr>
          <w:sz w:val="23"/>
          <w:szCs w:val="23"/>
        </w:rPr>
        <w:t xml:space="preserve">« </w:t>
      </w:r>
      <w:r w:rsidRPr="00A83561">
        <w:rPr>
          <w:i/>
          <w:sz w:val="23"/>
          <w:szCs w:val="23"/>
        </w:rPr>
        <w:t>ne sont applicables ni aux mineurs, ni en matière de délits de presse, de délits politiques ou d’infractions dont la procédure de poursuite est prévue par une loi spéciale</w:t>
      </w:r>
      <w:r w:rsidRPr="00A83561">
        <w:rPr>
          <w:sz w:val="23"/>
          <w:szCs w:val="23"/>
        </w:rPr>
        <w:t xml:space="preserve"> »</w:t>
      </w:r>
      <w:r w:rsidR="00F21F91" w:rsidRPr="00A83561">
        <w:rPr>
          <w:sz w:val="23"/>
          <w:szCs w:val="23"/>
        </w:rPr>
        <w:t>.</w:t>
      </w:r>
    </w:p>
    <w:p w:rsidR="009E17EB" w:rsidRPr="00A83561" w:rsidRDefault="009E17EB" w:rsidP="00A83561">
      <w:pPr>
        <w:pStyle w:val="Paragraphedeliste1"/>
        <w:numPr>
          <w:ilvl w:val="0"/>
          <w:numId w:val="0"/>
        </w:numPr>
        <w:spacing w:line="276" w:lineRule="auto"/>
        <w:ind w:left="720"/>
        <w:rPr>
          <w:sz w:val="23"/>
          <w:szCs w:val="23"/>
        </w:rPr>
      </w:pPr>
    </w:p>
    <w:p w:rsidR="009E17EB" w:rsidRPr="00A83561" w:rsidRDefault="009E17EB" w:rsidP="00A83561">
      <w:pPr>
        <w:pStyle w:val="Paragraphedeliste1"/>
        <w:numPr>
          <w:ilvl w:val="0"/>
          <w:numId w:val="0"/>
        </w:numPr>
        <w:spacing w:line="276" w:lineRule="auto"/>
        <w:ind w:left="720"/>
        <w:rPr>
          <w:sz w:val="23"/>
          <w:szCs w:val="23"/>
        </w:rPr>
      </w:pPr>
      <w:r w:rsidRPr="00A83561">
        <w:rPr>
          <w:sz w:val="23"/>
          <w:szCs w:val="23"/>
        </w:rPr>
        <w:t xml:space="preserve">En application de ces dispositions, le </w:t>
      </w:r>
      <w:r w:rsidR="00A049CE" w:rsidRPr="00A83561">
        <w:rPr>
          <w:sz w:val="23"/>
          <w:szCs w:val="23"/>
        </w:rPr>
        <w:t>T</w:t>
      </w:r>
      <w:r w:rsidRPr="00A83561">
        <w:rPr>
          <w:sz w:val="23"/>
          <w:szCs w:val="23"/>
        </w:rPr>
        <w:t>ribunal correctionnel saisi d’un délit pour lequel un mineur est poursuivi doit constater son incompétence.</w:t>
      </w:r>
    </w:p>
    <w:p w:rsidR="009E17EB" w:rsidRPr="00A83561" w:rsidRDefault="009E17EB" w:rsidP="00A83561">
      <w:pPr>
        <w:pStyle w:val="Paragraphedeliste1"/>
        <w:numPr>
          <w:ilvl w:val="0"/>
          <w:numId w:val="0"/>
        </w:numPr>
        <w:spacing w:line="276" w:lineRule="auto"/>
        <w:ind w:left="720"/>
        <w:rPr>
          <w:sz w:val="23"/>
          <w:szCs w:val="23"/>
        </w:rPr>
      </w:pPr>
    </w:p>
    <w:p w:rsidR="009E17EB" w:rsidRPr="00A83561" w:rsidRDefault="009E17EB" w:rsidP="00A83561">
      <w:pPr>
        <w:pStyle w:val="Paragraphedeliste1"/>
        <w:spacing w:line="276" w:lineRule="auto"/>
        <w:rPr>
          <w:sz w:val="23"/>
          <w:szCs w:val="23"/>
        </w:rPr>
      </w:pPr>
      <w:r w:rsidRPr="00A83561">
        <w:rPr>
          <w:sz w:val="23"/>
          <w:szCs w:val="23"/>
        </w:rPr>
        <w:t>L’âge du prévenu peut être établi par tout moyen.</w:t>
      </w:r>
      <w:r w:rsidR="00775007" w:rsidRPr="00A83561">
        <w:rPr>
          <w:sz w:val="23"/>
          <w:szCs w:val="23"/>
        </w:rPr>
        <w:t xml:space="preserve"> </w:t>
      </w:r>
      <w:r w:rsidR="008231FD" w:rsidRPr="00A83561">
        <w:rPr>
          <w:sz w:val="23"/>
          <w:szCs w:val="23"/>
        </w:rPr>
        <w:t>À</w:t>
      </w:r>
      <w:r w:rsidR="00775007" w:rsidRPr="00A83561">
        <w:rPr>
          <w:sz w:val="23"/>
          <w:szCs w:val="23"/>
        </w:rPr>
        <w:t xml:space="preserve"> cet égard, l’article 388 du Code civil prévoit expressément que le « </w:t>
      </w:r>
      <w:r w:rsidR="00775007" w:rsidRPr="00A83561">
        <w:rPr>
          <w:i/>
          <w:sz w:val="23"/>
          <w:szCs w:val="23"/>
        </w:rPr>
        <w:t>les conclusions de</w:t>
      </w:r>
      <w:r w:rsidR="00775007" w:rsidRPr="00A83561">
        <w:rPr>
          <w:sz w:val="23"/>
          <w:szCs w:val="23"/>
        </w:rPr>
        <w:t xml:space="preserve"> [l’examen osseux], </w:t>
      </w:r>
      <w:r w:rsidR="00775007" w:rsidRPr="00A83561">
        <w:rPr>
          <w:i/>
          <w:sz w:val="23"/>
          <w:szCs w:val="23"/>
        </w:rPr>
        <w:t>qui doivent préciser la marge d'erreur, ne peuvent à elles seules permettre de déterminer si l'intéressé est mineur</w:t>
      </w:r>
      <w:r w:rsidR="00775007" w:rsidRPr="00A83561">
        <w:rPr>
          <w:sz w:val="23"/>
          <w:szCs w:val="23"/>
        </w:rPr>
        <w:t> » et que «</w:t>
      </w:r>
      <w:r w:rsidR="008231FD" w:rsidRPr="00A83561">
        <w:rPr>
          <w:sz w:val="23"/>
          <w:szCs w:val="23"/>
        </w:rPr>
        <w:t> </w:t>
      </w:r>
      <w:r w:rsidR="00775007" w:rsidRPr="00A83561">
        <w:rPr>
          <w:b/>
          <w:i/>
          <w:sz w:val="23"/>
          <w:szCs w:val="23"/>
        </w:rPr>
        <w:t>le doute profite à l'intéressé</w:t>
      </w:r>
      <w:r w:rsidR="00775007" w:rsidRPr="00A83561">
        <w:rPr>
          <w:sz w:val="23"/>
          <w:szCs w:val="23"/>
        </w:rPr>
        <w:t> ».</w:t>
      </w:r>
      <w:r w:rsidRPr="00A83561">
        <w:rPr>
          <w:sz w:val="23"/>
          <w:szCs w:val="23"/>
        </w:rPr>
        <w:t xml:space="preserve"> </w:t>
      </w:r>
    </w:p>
    <w:p w:rsidR="00A049CE" w:rsidRPr="00A83561" w:rsidRDefault="00A049CE" w:rsidP="00A83561">
      <w:pPr>
        <w:pStyle w:val="Paragraphedeliste1"/>
        <w:numPr>
          <w:ilvl w:val="0"/>
          <w:numId w:val="0"/>
        </w:numPr>
        <w:spacing w:line="276" w:lineRule="auto"/>
        <w:ind w:left="720"/>
        <w:rPr>
          <w:sz w:val="23"/>
          <w:szCs w:val="23"/>
        </w:rPr>
      </w:pPr>
    </w:p>
    <w:p w:rsidR="00182413" w:rsidRPr="00A83561" w:rsidRDefault="00A049CE" w:rsidP="00A83561">
      <w:pPr>
        <w:pStyle w:val="Paragraphenormal"/>
        <w:numPr>
          <w:ilvl w:val="1"/>
          <w:numId w:val="7"/>
        </w:numPr>
        <w:spacing w:line="276" w:lineRule="auto"/>
        <w:rPr>
          <w:b/>
          <w:sz w:val="23"/>
          <w:szCs w:val="23"/>
        </w:rPr>
      </w:pPr>
      <w:r w:rsidRPr="00A83561">
        <w:rPr>
          <w:b/>
          <w:sz w:val="23"/>
          <w:szCs w:val="23"/>
        </w:rPr>
        <w:t>En l’espèce</w:t>
      </w:r>
    </w:p>
    <w:p w:rsidR="00F1660C" w:rsidRPr="00A83561" w:rsidRDefault="00F1660C" w:rsidP="00A83561">
      <w:pPr>
        <w:pStyle w:val="Paragraphedeliste1"/>
        <w:numPr>
          <w:ilvl w:val="0"/>
          <w:numId w:val="0"/>
        </w:numPr>
        <w:spacing w:line="276" w:lineRule="auto"/>
        <w:ind w:left="720"/>
        <w:rPr>
          <w:sz w:val="23"/>
          <w:szCs w:val="23"/>
        </w:rPr>
      </w:pPr>
    </w:p>
    <w:p w:rsidR="00407C3A" w:rsidRPr="00A83561" w:rsidRDefault="00C60DE2" w:rsidP="00A83561">
      <w:pPr>
        <w:pStyle w:val="Paragraphedeliste1"/>
        <w:spacing w:line="276" w:lineRule="auto"/>
        <w:rPr>
          <w:sz w:val="23"/>
          <w:szCs w:val="23"/>
        </w:rPr>
      </w:pPr>
      <w:r w:rsidRPr="00A83561">
        <w:rPr>
          <w:sz w:val="23"/>
          <w:szCs w:val="23"/>
        </w:rPr>
        <w:t xml:space="preserve"> </w:t>
      </w:r>
      <w:r w:rsidR="00407C3A" w:rsidRPr="00A83561">
        <w:rPr>
          <w:sz w:val="23"/>
          <w:szCs w:val="23"/>
        </w:rPr>
        <w:br w:type="page"/>
      </w:r>
    </w:p>
    <w:p w:rsidR="00A049CE" w:rsidRPr="00A83561" w:rsidRDefault="00A049CE"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407C3A" w:rsidRPr="00A83561" w:rsidRDefault="00407C3A" w:rsidP="00A83561">
      <w:pPr>
        <w:pStyle w:val="Paragraphedeliste1"/>
        <w:numPr>
          <w:ilvl w:val="0"/>
          <w:numId w:val="0"/>
        </w:numPr>
        <w:spacing w:line="276" w:lineRule="auto"/>
        <w:ind w:left="720"/>
        <w:rPr>
          <w:sz w:val="23"/>
          <w:szCs w:val="23"/>
        </w:rPr>
      </w:pPr>
    </w:p>
    <w:p w:rsidR="00603A96" w:rsidRPr="00A83561" w:rsidRDefault="00603A96" w:rsidP="00A83561">
      <w:pPr>
        <w:spacing w:line="276" w:lineRule="auto"/>
        <w:jc w:val="center"/>
        <w:rPr>
          <w:rFonts w:ascii="Garamond" w:hAnsi="Garamond"/>
          <w:sz w:val="23"/>
          <w:szCs w:val="23"/>
        </w:rPr>
      </w:pPr>
      <w:r w:rsidRPr="00A83561">
        <w:rPr>
          <w:rFonts w:ascii="Garamond" w:hAnsi="Garamond"/>
          <w:sz w:val="23"/>
          <w:szCs w:val="23"/>
        </w:rPr>
        <w:t>*          *          *</w:t>
      </w:r>
    </w:p>
    <w:p w:rsidR="00D70FB4" w:rsidRPr="00A83561" w:rsidRDefault="00603A96" w:rsidP="00A83561">
      <w:pPr>
        <w:pStyle w:val="Paragraphedeliste1"/>
        <w:spacing w:line="276" w:lineRule="auto"/>
        <w:rPr>
          <w:sz w:val="23"/>
          <w:szCs w:val="23"/>
        </w:rPr>
      </w:pPr>
      <w:r w:rsidRPr="00A83561">
        <w:rPr>
          <w:sz w:val="23"/>
          <w:szCs w:val="23"/>
        </w:rPr>
        <w:t xml:space="preserve">L’article 459 du CPP prévoit </w:t>
      </w:r>
      <w:r w:rsidR="00D70FB4" w:rsidRPr="00A83561">
        <w:rPr>
          <w:sz w:val="23"/>
          <w:szCs w:val="23"/>
        </w:rPr>
        <w:t xml:space="preserve">en son alinéa 4 que </w:t>
      </w:r>
      <w:r w:rsidRPr="00A83561">
        <w:rPr>
          <w:sz w:val="23"/>
          <w:szCs w:val="23"/>
        </w:rPr>
        <w:t xml:space="preserve">la juridiction correctionnelle </w:t>
      </w:r>
      <w:r w:rsidR="00D70FB4" w:rsidRPr="00A83561">
        <w:rPr>
          <w:sz w:val="23"/>
          <w:szCs w:val="23"/>
        </w:rPr>
        <w:t xml:space="preserve">ne peut joindre au fond une exception de procédure si celle-ci </w:t>
      </w:r>
      <w:r w:rsidR="00D70FB4" w:rsidRPr="00A83561">
        <w:rPr>
          <w:sz w:val="23"/>
          <w:szCs w:val="23"/>
          <w:u w:val="single"/>
        </w:rPr>
        <w:t>touche à l’ordre public</w:t>
      </w:r>
      <w:r w:rsidR="00D70FB4" w:rsidRPr="00A83561">
        <w:rPr>
          <w:sz w:val="23"/>
          <w:szCs w:val="23"/>
        </w:rPr>
        <w:t>.</w:t>
      </w:r>
    </w:p>
    <w:p w:rsidR="00D70FB4" w:rsidRPr="00A83561" w:rsidRDefault="00D70FB4" w:rsidP="00A83561">
      <w:pPr>
        <w:pStyle w:val="Paragraphedeliste1"/>
        <w:numPr>
          <w:ilvl w:val="0"/>
          <w:numId w:val="0"/>
        </w:numPr>
        <w:spacing w:line="276" w:lineRule="auto"/>
        <w:ind w:left="720"/>
        <w:rPr>
          <w:sz w:val="23"/>
          <w:szCs w:val="23"/>
        </w:rPr>
      </w:pPr>
    </w:p>
    <w:p w:rsidR="00D70FB4" w:rsidRPr="00A83561" w:rsidRDefault="00D70FB4" w:rsidP="00A83561">
      <w:pPr>
        <w:pStyle w:val="Paragraphedeliste1"/>
        <w:numPr>
          <w:ilvl w:val="0"/>
          <w:numId w:val="0"/>
        </w:numPr>
        <w:spacing w:line="276" w:lineRule="auto"/>
        <w:ind w:left="720"/>
        <w:rPr>
          <w:sz w:val="23"/>
          <w:szCs w:val="23"/>
        </w:rPr>
      </w:pPr>
      <w:r w:rsidRPr="00A83561">
        <w:rPr>
          <w:sz w:val="23"/>
          <w:szCs w:val="23"/>
        </w:rPr>
        <w:t>Il est constant que les principes</w:t>
      </w:r>
      <w:r w:rsidR="00F25595" w:rsidRPr="00A83561">
        <w:rPr>
          <w:sz w:val="23"/>
          <w:szCs w:val="23"/>
        </w:rPr>
        <w:t xml:space="preserve"> afférant </w:t>
      </w:r>
      <w:r w:rsidR="00EE379A" w:rsidRPr="00A83561">
        <w:rPr>
          <w:sz w:val="23"/>
          <w:szCs w:val="23"/>
        </w:rPr>
        <w:t>à la protection des mineurs sont d’ordre public</w:t>
      </w:r>
      <w:r w:rsidR="00EA5497" w:rsidRPr="00A83561">
        <w:rPr>
          <w:sz w:val="23"/>
          <w:szCs w:val="23"/>
        </w:rPr>
        <w:t>.</w:t>
      </w:r>
    </w:p>
    <w:p w:rsidR="00EA5497" w:rsidRPr="00A83561" w:rsidRDefault="00EA5497" w:rsidP="00A83561">
      <w:pPr>
        <w:pStyle w:val="Paragraphedeliste1"/>
        <w:numPr>
          <w:ilvl w:val="0"/>
          <w:numId w:val="0"/>
        </w:numPr>
        <w:spacing w:line="276" w:lineRule="auto"/>
        <w:ind w:left="720" w:hanging="360"/>
        <w:rPr>
          <w:sz w:val="23"/>
          <w:szCs w:val="23"/>
        </w:rPr>
      </w:pPr>
    </w:p>
    <w:p w:rsidR="00EA5497" w:rsidRPr="00A83561" w:rsidRDefault="00EA5497" w:rsidP="00A83561">
      <w:pPr>
        <w:pStyle w:val="Paragraphedeliste1"/>
        <w:numPr>
          <w:ilvl w:val="0"/>
          <w:numId w:val="0"/>
        </w:numPr>
        <w:spacing w:line="276" w:lineRule="auto"/>
        <w:ind w:left="1068" w:hanging="360"/>
        <w:rPr>
          <w:sz w:val="23"/>
          <w:szCs w:val="23"/>
        </w:rPr>
      </w:pPr>
      <w:r w:rsidRPr="00A83561">
        <w:rPr>
          <w:sz w:val="23"/>
          <w:szCs w:val="23"/>
        </w:rPr>
        <w:t>Aussi, il sera demandé au Tribunal de céans de ne pas joindre l’incident au fond.</w:t>
      </w:r>
    </w:p>
    <w:p w:rsidR="00D70FB4" w:rsidRPr="00A83561" w:rsidRDefault="00D70FB4" w:rsidP="00A83561">
      <w:pPr>
        <w:pStyle w:val="Paragraphedeliste1"/>
        <w:numPr>
          <w:ilvl w:val="0"/>
          <w:numId w:val="0"/>
        </w:numPr>
        <w:spacing w:line="276" w:lineRule="auto"/>
        <w:ind w:left="720" w:hanging="360"/>
        <w:rPr>
          <w:sz w:val="23"/>
          <w:szCs w:val="23"/>
        </w:rPr>
      </w:pPr>
    </w:p>
    <w:p w:rsidR="00D70FB4" w:rsidRPr="00A83561" w:rsidRDefault="00D70FB4" w:rsidP="00A83561">
      <w:pPr>
        <w:spacing w:line="276" w:lineRule="auto"/>
        <w:rPr>
          <w:rFonts w:ascii="Garamond" w:hAnsi="Garamond"/>
          <w:sz w:val="23"/>
          <w:szCs w:val="23"/>
        </w:rPr>
      </w:pPr>
      <w:r w:rsidRPr="00A83561">
        <w:rPr>
          <w:sz w:val="23"/>
          <w:szCs w:val="23"/>
        </w:rPr>
        <w:br w:type="page"/>
      </w:r>
    </w:p>
    <w:p w:rsidR="003171D1" w:rsidRPr="00A83561" w:rsidRDefault="003171D1" w:rsidP="00A83561">
      <w:pPr>
        <w:pStyle w:val="Paragraphedeliste1"/>
        <w:numPr>
          <w:ilvl w:val="0"/>
          <w:numId w:val="0"/>
        </w:numPr>
        <w:spacing w:line="276" w:lineRule="auto"/>
        <w:ind w:left="720"/>
        <w:jc w:val="center"/>
        <w:rPr>
          <w:b/>
          <w:smallCaps/>
          <w:sz w:val="23"/>
          <w:szCs w:val="23"/>
        </w:rPr>
      </w:pPr>
      <w:r w:rsidRPr="00A83561">
        <w:rPr>
          <w:b/>
          <w:smallCaps/>
          <w:sz w:val="23"/>
          <w:szCs w:val="23"/>
        </w:rPr>
        <w:lastRenderedPageBreak/>
        <w:t>Par ces motifs</w:t>
      </w:r>
    </w:p>
    <w:p w:rsidR="003171D1" w:rsidRPr="00A83561" w:rsidRDefault="003171D1" w:rsidP="00A83561">
      <w:pPr>
        <w:pStyle w:val="Paragraphedeliste1"/>
        <w:numPr>
          <w:ilvl w:val="0"/>
          <w:numId w:val="0"/>
        </w:numPr>
        <w:spacing w:line="276" w:lineRule="auto"/>
        <w:ind w:left="720"/>
        <w:rPr>
          <w:sz w:val="23"/>
          <w:szCs w:val="23"/>
        </w:rPr>
      </w:pPr>
    </w:p>
    <w:p w:rsidR="003171D1" w:rsidRPr="00A83561" w:rsidRDefault="003171D1" w:rsidP="00A83561">
      <w:pPr>
        <w:pStyle w:val="Paragraphedeliste1"/>
        <w:numPr>
          <w:ilvl w:val="0"/>
          <w:numId w:val="0"/>
        </w:numPr>
        <w:spacing w:line="276" w:lineRule="auto"/>
        <w:ind w:left="720" w:hanging="360"/>
        <w:rPr>
          <w:sz w:val="23"/>
          <w:szCs w:val="23"/>
        </w:rPr>
      </w:pPr>
    </w:p>
    <w:p w:rsidR="00407C3A" w:rsidRPr="00A83561" w:rsidRDefault="006D6C1E" w:rsidP="00A83561">
      <w:pPr>
        <w:pStyle w:val="Paragraphedeliste1"/>
        <w:numPr>
          <w:ilvl w:val="0"/>
          <w:numId w:val="0"/>
        </w:numPr>
        <w:spacing w:line="276" w:lineRule="auto"/>
        <w:ind w:left="720" w:hanging="360"/>
        <w:rPr>
          <w:sz w:val="23"/>
          <w:szCs w:val="23"/>
        </w:rPr>
      </w:pPr>
      <w:r w:rsidRPr="00A83561">
        <w:rPr>
          <w:sz w:val="23"/>
          <w:szCs w:val="23"/>
        </w:rPr>
        <w:t xml:space="preserve">Vu </w:t>
      </w:r>
      <w:r w:rsidR="00407C3A" w:rsidRPr="00A83561">
        <w:rPr>
          <w:sz w:val="23"/>
          <w:szCs w:val="23"/>
        </w:rPr>
        <w:t>les articles 1</w:t>
      </w:r>
      <w:r w:rsidR="00407C3A" w:rsidRPr="00A83561">
        <w:rPr>
          <w:sz w:val="23"/>
          <w:szCs w:val="23"/>
          <w:vertAlign w:val="superscript"/>
        </w:rPr>
        <w:t>er</w:t>
      </w:r>
      <w:r w:rsidR="004B3272" w:rsidRPr="00A83561">
        <w:rPr>
          <w:sz w:val="23"/>
          <w:szCs w:val="23"/>
        </w:rPr>
        <w:t xml:space="preserve"> </w:t>
      </w:r>
      <w:r w:rsidR="00407C3A" w:rsidRPr="00A83561">
        <w:rPr>
          <w:sz w:val="23"/>
          <w:szCs w:val="23"/>
        </w:rPr>
        <w:t>et 5 de l’ordonnance du 2 février 1945</w:t>
      </w:r>
    </w:p>
    <w:p w:rsidR="00407C3A" w:rsidRPr="00A83561" w:rsidRDefault="00407C3A" w:rsidP="00A83561">
      <w:pPr>
        <w:pStyle w:val="Paragraphedeliste1"/>
        <w:numPr>
          <w:ilvl w:val="0"/>
          <w:numId w:val="0"/>
        </w:numPr>
        <w:spacing w:line="276" w:lineRule="auto"/>
        <w:ind w:left="720" w:hanging="360"/>
        <w:rPr>
          <w:sz w:val="23"/>
          <w:szCs w:val="23"/>
        </w:rPr>
      </w:pPr>
    </w:p>
    <w:p w:rsidR="00407C3A" w:rsidRPr="00A83561" w:rsidRDefault="00407C3A" w:rsidP="00A83561">
      <w:pPr>
        <w:pStyle w:val="Paragraphedeliste1"/>
        <w:numPr>
          <w:ilvl w:val="0"/>
          <w:numId w:val="0"/>
        </w:numPr>
        <w:spacing w:line="276" w:lineRule="auto"/>
        <w:ind w:left="720" w:hanging="360"/>
        <w:rPr>
          <w:sz w:val="23"/>
          <w:szCs w:val="23"/>
        </w:rPr>
      </w:pPr>
      <w:r w:rsidRPr="00A83561">
        <w:rPr>
          <w:sz w:val="23"/>
          <w:szCs w:val="23"/>
        </w:rPr>
        <w:t>Vu l’article 388 du Code civil</w:t>
      </w:r>
    </w:p>
    <w:p w:rsidR="00407C3A" w:rsidRPr="00A83561" w:rsidRDefault="00407C3A" w:rsidP="00A83561">
      <w:pPr>
        <w:pStyle w:val="Paragraphedeliste1"/>
        <w:numPr>
          <w:ilvl w:val="0"/>
          <w:numId w:val="0"/>
        </w:numPr>
        <w:spacing w:line="276" w:lineRule="auto"/>
        <w:ind w:left="720" w:hanging="360"/>
        <w:rPr>
          <w:sz w:val="23"/>
          <w:szCs w:val="23"/>
        </w:rPr>
      </w:pPr>
    </w:p>
    <w:p w:rsidR="006D6C1E" w:rsidRPr="00A83561" w:rsidRDefault="00407C3A" w:rsidP="00A83561">
      <w:pPr>
        <w:pStyle w:val="Paragraphedeliste1"/>
        <w:numPr>
          <w:ilvl w:val="0"/>
          <w:numId w:val="0"/>
        </w:numPr>
        <w:spacing w:line="276" w:lineRule="auto"/>
        <w:ind w:left="360"/>
        <w:rPr>
          <w:sz w:val="23"/>
          <w:szCs w:val="23"/>
        </w:rPr>
      </w:pPr>
      <w:r w:rsidRPr="00A83561">
        <w:rPr>
          <w:sz w:val="23"/>
          <w:szCs w:val="23"/>
        </w:rPr>
        <w:t>Vu les articles 385, 397-6, 452</w:t>
      </w:r>
      <w:r w:rsidRPr="00A83561">
        <w:rPr>
          <w:sz w:val="23"/>
          <w:szCs w:val="23"/>
          <w:vertAlign w:val="superscript"/>
        </w:rPr>
        <w:t xml:space="preserve"> </w:t>
      </w:r>
      <w:r w:rsidRPr="00A83561">
        <w:rPr>
          <w:sz w:val="23"/>
          <w:szCs w:val="23"/>
        </w:rPr>
        <w:t xml:space="preserve">et 802 du CPP </w:t>
      </w:r>
      <w:r w:rsidR="006D6C1E" w:rsidRPr="00A83561">
        <w:rPr>
          <w:sz w:val="23"/>
          <w:szCs w:val="23"/>
        </w:rPr>
        <w:t>l’article 5-2 de la Convention européenne de sauvegarde des droits de l’homme,</w:t>
      </w:r>
    </w:p>
    <w:p w:rsidR="006D6C1E" w:rsidRPr="00A83561" w:rsidRDefault="006D6C1E" w:rsidP="00A83561">
      <w:pPr>
        <w:pStyle w:val="Paragraphedeliste1"/>
        <w:numPr>
          <w:ilvl w:val="0"/>
          <w:numId w:val="0"/>
        </w:numPr>
        <w:spacing w:line="276" w:lineRule="auto"/>
        <w:ind w:left="720" w:hanging="360"/>
        <w:rPr>
          <w:sz w:val="23"/>
          <w:szCs w:val="23"/>
        </w:rPr>
      </w:pPr>
    </w:p>
    <w:p w:rsidR="003171D1" w:rsidRPr="00A83561" w:rsidRDefault="003171D1" w:rsidP="00A83561">
      <w:pPr>
        <w:pStyle w:val="Paragraphedeliste1"/>
        <w:numPr>
          <w:ilvl w:val="0"/>
          <w:numId w:val="0"/>
        </w:numPr>
        <w:spacing w:line="276" w:lineRule="auto"/>
        <w:ind w:left="720" w:hanging="360"/>
        <w:rPr>
          <w:sz w:val="23"/>
          <w:szCs w:val="23"/>
        </w:rPr>
      </w:pPr>
      <w:r w:rsidRPr="00A83561">
        <w:rPr>
          <w:sz w:val="23"/>
          <w:szCs w:val="23"/>
        </w:rPr>
        <w:t>Vu l</w:t>
      </w:r>
      <w:r w:rsidR="00A774D8" w:rsidRPr="00A83561">
        <w:rPr>
          <w:sz w:val="23"/>
          <w:szCs w:val="23"/>
        </w:rPr>
        <w:t>es articles préliminaire,</w:t>
      </w:r>
      <w:r w:rsidR="00205AB9" w:rsidRPr="00A83561">
        <w:rPr>
          <w:sz w:val="23"/>
          <w:szCs w:val="23"/>
        </w:rPr>
        <w:t xml:space="preserve"> 63,</w:t>
      </w:r>
      <w:r w:rsidR="00A774D8" w:rsidRPr="00A83561">
        <w:rPr>
          <w:sz w:val="23"/>
          <w:szCs w:val="23"/>
        </w:rPr>
        <w:t xml:space="preserve"> 63-1</w:t>
      </w:r>
      <w:r w:rsidR="00C67AC8" w:rsidRPr="00A83561">
        <w:rPr>
          <w:sz w:val="23"/>
          <w:szCs w:val="23"/>
        </w:rPr>
        <w:t>,</w:t>
      </w:r>
      <w:r w:rsidR="00A774D8" w:rsidRPr="00A83561">
        <w:rPr>
          <w:sz w:val="23"/>
          <w:szCs w:val="23"/>
        </w:rPr>
        <w:t xml:space="preserve"> </w:t>
      </w:r>
      <w:r w:rsidRPr="00A83561">
        <w:rPr>
          <w:sz w:val="23"/>
          <w:szCs w:val="23"/>
        </w:rPr>
        <w:t>385</w:t>
      </w:r>
      <w:r w:rsidR="00151CAB" w:rsidRPr="00A83561">
        <w:rPr>
          <w:sz w:val="23"/>
          <w:szCs w:val="23"/>
        </w:rPr>
        <w:t>, 45</w:t>
      </w:r>
      <w:r w:rsidR="00407C3A" w:rsidRPr="00A83561">
        <w:rPr>
          <w:sz w:val="23"/>
          <w:szCs w:val="23"/>
        </w:rPr>
        <w:t>9</w:t>
      </w:r>
      <w:r w:rsidRPr="00A83561">
        <w:rPr>
          <w:sz w:val="23"/>
          <w:szCs w:val="23"/>
        </w:rPr>
        <w:t xml:space="preserve"> </w:t>
      </w:r>
      <w:r w:rsidR="00C67AC8" w:rsidRPr="00A83561">
        <w:rPr>
          <w:sz w:val="23"/>
          <w:szCs w:val="23"/>
        </w:rPr>
        <w:t xml:space="preserve">et 802 </w:t>
      </w:r>
      <w:r w:rsidRPr="00A83561">
        <w:rPr>
          <w:sz w:val="23"/>
          <w:szCs w:val="23"/>
        </w:rPr>
        <w:t>du Code de procédure pénale,</w:t>
      </w:r>
    </w:p>
    <w:p w:rsidR="00A774D8" w:rsidRPr="00A83561" w:rsidRDefault="00A774D8" w:rsidP="00A83561">
      <w:pPr>
        <w:pStyle w:val="Paragraphedeliste1"/>
        <w:numPr>
          <w:ilvl w:val="0"/>
          <w:numId w:val="0"/>
        </w:numPr>
        <w:spacing w:line="276" w:lineRule="auto"/>
        <w:ind w:left="720" w:hanging="360"/>
        <w:rPr>
          <w:sz w:val="23"/>
          <w:szCs w:val="23"/>
        </w:rPr>
      </w:pPr>
    </w:p>
    <w:p w:rsidR="003171D1" w:rsidRPr="00A83561" w:rsidRDefault="003171D1" w:rsidP="00A83561">
      <w:pPr>
        <w:pStyle w:val="Paragraphedeliste1"/>
        <w:numPr>
          <w:ilvl w:val="0"/>
          <w:numId w:val="0"/>
        </w:numPr>
        <w:spacing w:line="276" w:lineRule="auto"/>
        <w:ind w:left="720" w:hanging="360"/>
        <w:rPr>
          <w:sz w:val="23"/>
          <w:szCs w:val="23"/>
        </w:rPr>
      </w:pPr>
      <w:r w:rsidRPr="00A83561">
        <w:rPr>
          <w:sz w:val="23"/>
          <w:szCs w:val="23"/>
        </w:rPr>
        <w:t>Vu les présentes conclusions et la jurisprudence y reproduite,</w:t>
      </w:r>
    </w:p>
    <w:p w:rsidR="003171D1" w:rsidRPr="00A83561" w:rsidRDefault="003171D1" w:rsidP="00A83561">
      <w:pPr>
        <w:pStyle w:val="Paragraphedeliste1"/>
        <w:numPr>
          <w:ilvl w:val="0"/>
          <w:numId w:val="0"/>
        </w:numPr>
        <w:spacing w:line="276" w:lineRule="auto"/>
        <w:ind w:left="720" w:hanging="360"/>
        <w:rPr>
          <w:sz w:val="23"/>
          <w:szCs w:val="23"/>
        </w:rPr>
      </w:pPr>
    </w:p>
    <w:p w:rsidR="003171D1" w:rsidRPr="00A83561" w:rsidRDefault="003171D1" w:rsidP="00A83561">
      <w:pPr>
        <w:pStyle w:val="Paragraphedeliste1"/>
        <w:numPr>
          <w:ilvl w:val="0"/>
          <w:numId w:val="0"/>
        </w:numPr>
        <w:spacing w:line="276" w:lineRule="auto"/>
        <w:ind w:left="720" w:hanging="360"/>
        <w:rPr>
          <w:sz w:val="23"/>
          <w:szCs w:val="23"/>
        </w:rPr>
      </w:pPr>
      <w:r w:rsidRPr="00A83561">
        <w:rPr>
          <w:sz w:val="23"/>
          <w:szCs w:val="23"/>
        </w:rPr>
        <w:t>Il est demandé au Tribunal de :</w:t>
      </w:r>
    </w:p>
    <w:p w:rsidR="003171D1" w:rsidRPr="00A83561" w:rsidRDefault="003171D1" w:rsidP="00A83561">
      <w:pPr>
        <w:pStyle w:val="Paragraphedeliste1"/>
        <w:numPr>
          <w:ilvl w:val="0"/>
          <w:numId w:val="0"/>
        </w:numPr>
        <w:spacing w:line="276" w:lineRule="auto"/>
        <w:ind w:left="720" w:hanging="360"/>
        <w:rPr>
          <w:sz w:val="23"/>
          <w:szCs w:val="23"/>
        </w:rPr>
      </w:pPr>
    </w:p>
    <w:p w:rsidR="00304175" w:rsidRPr="00A83561" w:rsidRDefault="00304175" w:rsidP="00A83561">
      <w:pPr>
        <w:pStyle w:val="Paragraphedeliste1"/>
        <w:numPr>
          <w:ilvl w:val="0"/>
          <w:numId w:val="6"/>
        </w:numPr>
        <w:spacing w:line="276" w:lineRule="auto"/>
        <w:rPr>
          <w:sz w:val="23"/>
          <w:szCs w:val="23"/>
        </w:rPr>
      </w:pPr>
      <w:r w:rsidRPr="00A83561">
        <w:rPr>
          <w:b/>
          <w:sz w:val="23"/>
          <w:szCs w:val="23"/>
        </w:rPr>
        <w:t>Dire et juger</w:t>
      </w:r>
      <w:r w:rsidRPr="00A83561">
        <w:rPr>
          <w:sz w:val="23"/>
          <w:szCs w:val="23"/>
        </w:rPr>
        <w:t xml:space="preserve"> recevable l’exception de nullité ;</w:t>
      </w:r>
    </w:p>
    <w:p w:rsidR="00151CAB" w:rsidRPr="00A83561" w:rsidRDefault="00151CAB" w:rsidP="00A83561">
      <w:pPr>
        <w:pStyle w:val="Paragraphedeliste1"/>
        <w:numPr>
          <w:ilvl w:val="0"/>
          <w:numId w:val="0"/>
        </w:numPr>
        <w:spacing w:line="276" w:lineRule="auto"/>
        <w:ind w:left="1080"/>
        <w:rPr>
          <w:sz w:val="23"/>
          <w:szCs w:val="23"/>
        </w:rPr>
      </w:pPr>
    </w:p>
    <w:p w:rsidR="00151CAB" w:rsidRPr="00A83561" w:rsidRDefault="00151CAB" w:rsidP="00A83561">
      <w:pPr>
        <w:pStyle w:val="Paragraphedeliste1"/>
        <w:numPr>
          <w:ilvl w:val="0"/>
          <w:numId w:val="6"/>
        </w:numPr>
        <w:spacing w:line="276" w:lineRule="auto"/>
        <w:rPr>
          <w:b/>
          <w:sz w:val="23"/>
          <w:szCs w:val="23"/>
        </w:rPr>
      </w:pPr>
      <w:r w:rsidRPr="00A83561">
        <w:rPr>
          <w:b/>
          <w:sz w:val="23"/>
          <w:szCs w:val="23"/>
        </w:rPr>
        <w:t xml:space="preserve">Y répondre </w:t>
      </w:r>
      <w:r w:rsidRPr="00A83561">
        <w:rPr>
          <w:sz w:val="23"/>
          <w:szCs w:val="23"/>
        </w:rPr>
        <w:t xml:space="preserve">par jugement séparé </w:t>
      </w:r>
      <w:r w:rsidRPr="00A83561">
        <w:rPr>
          <w:i/>
          <w:sz w:val="23"/>
          <w:szCs w:val="23"/>
        </w:rPr>
        <w:t xml:space="preserve">in </w:t>
      </w:r>
      <w:proofErr w:type="spellStart"/>
      <w:r w:rsidRPr="00A83561">
        <w:rPr>
          <w:i/>
          <w:sz w:val="23"/>
          <w:szCs w:val="23"/>
        </w:rPr>
        <w:t>limine</w:t>
      </w:r>
      <w:proofErr w:type="spellEnd"/>
      <w:r w:rsidRPr="00A83561">
        <w:rPr>
          <w:i/>
          <w:sz w:val="23"/>
          <w:szCs w:val="23"/>
        </w:rPr>
        <w:t xml:space="preserve"> </w:t>
      </w:r>
      <w:proofErr w:type="spellStart"/>
      <w:r w:rsidRPr="00A83561">
        <w:rPr>
          <w:i/>
          <w:sz w:val="23"/>
          <w:szCs w:val="23"/>
        </w:rPr>
        <w:t>litis</w:t>
      </w:r>
      <w:proofErr w:type="spellEnd"/>
      <w:r w:rsidRPr="00A83561">
        <w:rPr>
          <w:i/>
          <w:sz w:val="23"/>
          <w:szCs w:val="23"/>
        </w:rPr>
        <w:t> </w:t>
      </w:r>
      <w:r w:rsidRPr="00A83561">
        <w:rPr>
          <w:sz w:val="23"/>
          <w:szCs w:val="23"/>
        </w:rPr>
        <w:t>;</w:t>
      </w:r>
    </w:p>
    <w:p w:rsidR="00304175" w:rsidRPr="00A83561" w:rsidRDefault="00304175" w:rsidP="00A83561">
      <w:pPr>
        <w:pStyle w:val="Paragraphedeliste1"/>
        <w:numPr>
          <w:ilvl w:val="0"/>
          <w:numId w:val="0"/>
        </w:numPr>
        <w:spacing w:line="276" w:lineRule="auto"/>
        <w:ind w:left="1080"/>
        <w:rPr>
          <w:sz w:val="23"/>
          <w:szCs w:val="23"/>
        </w:rPr>
      </w:pPr>
    </w:p>
    <w:p w:rsidR="00304175" w:rsidRPr="00A83561" w:rsidRDefault="003171D1" w:rsidP="00A83561">
      <w:pPr>
        <w:pStyle w:val="Paragraphedeliste1"/>
        <w:numPr>
          <w:ilvl w:val="0"/>
          <w:numId w:val="6"/>
        </w:numPr>
        <w:spacing w:line="276" w:lineRule="auto"/>
        <w:rPr>
          <w:sz w:val="23"/>
          <w:szCs w:val="23"/>
        </w:rPr>
      </w:pPr>
      <w:r w:rsidRPr="00A83561">
        <w:rPr>
          <w:b/>
          <w:sz w:val="23"/>
          <w:szCs w:val="23"/>
        </w:rPr>
        <w:t>Constater</w:t>
      </w:r>
      <w:r w:rsidRPr="00A83561">
        <w:rPr>
          <w:sz w:val="23"/>
          <w:szCs w:val="23"/>
        </w:rPr>
        <w:t xml:space="preserve"> </w:t>
      </w:r>
      <w:r w:rsidR="00407C3A" w:rsidRPr="00A83561">
        <w:rPr>
          <w:sz w:val="23"/>
          <w:szCs w:val="23"/>
        </w:rPr>
        <w:t>l’incompétence du Tribunal correctionnel</w:t>
      </w:r>
      <w:r w:rsidR="00304175" w:rsidRPr="00A83561">
        <w:rPr>
          <w:sz w:val="23"/>
          <w:szCs w:val="23"/>
        </w:rPr>
        <w:t> ;</w:t>
      </w:r>
    </w:p>
    <w:p w:rsidR="00304175" w:rsidRPr="00A83561" w:rsidRDefault="00304175" w:rsidP="00A83561">
      <w:pPr>
        <w:pStyle w:val="Paragraphedeliste1"/>
        <w:numPr>
          <w:ilvl w:val="0"/>
          <w:numId w:val="0"/>
        </w:numPr>
        <w:spacing w:line="276" w:lineRule="auto"/>
        <w:ind w:left="1080"/>
        <w:rPr>
          <w:sz w:val="23"/>
          <w:szCs w:val="23"/>
        </w:rPr>
      </w:pPr>
    </w:p>
    <w:p w:rsidR="00266404" w:rsidRPr="00A83561" w:rsidRDefault="00407C3A" w:rsidP="00A83561">
      <w:pPr>
        <w:pStyle w:val="Paragraphedeliste1"/>
        <w:numPr>
          <w:ilvl w:val="0"/>
          <w:numId w:val="6"/>
        </w:numPr>
        <w:spacing w:line="276" w:lineRule="auto"/>
        <w:rPr>
          <w:sz w:val="23"/>
          <w:szCs w:val="23"/>
        </w:rPr>
      </w:pPr>
      <w:r w:rsidRPr="00A83561">
        <w:rPr>
          <w:b/>
          <w:sz w:val="23"/>
          <w:szCs w:val="23"/>
        </w:rPr>
        <w:t>Renvoyer</w:t>
      </w:r>
      <w:r w:rsidR="00266404" w:rsidRPr="00A83561">
        <w:rPr>
          <w:sz w:val="23"/>
          <w:szCs w:val="23"/>
        </w:rPr>
        <w:t xml:space="preserve"> </w:t>
      </w:r>
      <w:r w:rsidRPr="00A83561">
        <w:rPr>
          <w:sz w:val="23"/>
          <w:szCs w:val="23"/>
        </w:rPr>
        <w:t>le Ministère public à mieux se pourvoir.</w:t>
      </w:r>
    </w:p>
    <w:p w:rsidR="00266404" w:rsidRPr="00A83561" w:rsidRDefault="00266404" w:rsidP="00A83561">
      <w:pPr>
        <w:pStyle w:val="Paragraphedeliste1"/>
        <w:numPr>
          <w:ilvl w:val="0"/>
          <w:numId w:val="0"/>
        </w:numPr>
        <w:spacing w:line="276" w:lineRule="auto"/>
        <w:ind w:left="720"/>
        <w:rPr>
          <w:sz w:val="23"/>
          <w:szCs w:val="23"/>
        </w:rPr>
      </w:pPr>
    </w:p>
    <w:p w:rsidR="003171D1" w:rsidRPr="00A83561" w:rsidRDefault="003171D1" w:rsidP="00A83561">
      <w:pPr>
        <w:pStyle w:val="Paragraphedeliste1"/>
        <w:numPr>
          <w:ilvl w:val="0"/>
          <w:numId w:val="0"/>
        </w:numPr>
        <w:spacing w:line="276" w:lineRule="auto"/>
        <w:ind w:left="720" w:hanging="360"/>
        <w:rPr>
          <w:sz w:val="23"/>
          <w:szCs w:val="23"/>
        </w:rPr>
      </w:pPr>
    </w:p>
    <w:p w:rsidR="00266404" w:rsidRPr="00A83561" w:rsidRDefault="00266404" w:rsidP="00A83561">
      <w:pPr>
        <w:pStyle w:val="Paragraphedeliste1"/>
        <w:numPr>
          <w:ilvl w:val="0"/>
          <w:numId w:val="0"/>
        </w:numPr>
        <w:spacing w:line="276" w:lineRule="auto"/>
        <w:ind w:left="720" w:hanging="360"/>
        <w:rPr>
          <w:sz w:val="23"/>
          <w:szCs w:val="23"/>
        </w:rPr>
      </w:pPr>
    </w:p>
    <w:p w:rsidR="00266404" w:rsidRPr="00A83561" w:rsidRDefault="00266404" w:rsidP="00A83561">
      <w:pPr>
        <w:pStyle w:val="Paragraphedeliste1"/>
        <w:numPr>
          <w:ilvl w:val="0"/>
          <w:numId w:val="0"/>
        </w:numPr>
        <w:spacing w:line="276" w:lineRule="auto"/>
        <w:ind w:left="720" w:hanging="360"/>
        <w:rPr>
          <w:sz w:val="23"/>
          <w:szCs w:val="23"/>
        </w:rPr>
      </w:pPr>
    </w:p>
    <w:p w:rsidR="00266404" w:rsidRPr="00A83561" w:rsidRDefault="00266404" w:rsidP="00A83561">
      <w:pPr>
        <w:pStyle w:val="Paragraphedeliste1"/>
        <w:numPr>
          <w:ilvl w:val="0"/>
          <w:numId w:val="0"/>
        </w:numPr>
        <w:spacing w:line="276" w:lineRule="auto"/>
        <w:ind w:left="720" w:hanging="360"/>
        <w:jc w:val="right"/>
        <w:rPr>
          <w:b/>
          <w:sz w:val="23"/>
          <w:szCs w:val="23"/>
        </w:rPr>
      </w:pPr>
      <w:r w:rsidRPr="00A83561">
        <w:rPr>
          <w:b/>
          <w:sz w:val="23"/>
          <w:szCs w:val="23"/>
        </w:rPr>
        <w:t>Sous tous réserves</w:t>
      </w:r>
    </w:p>
    <w:sectPr w:rsidR="00266404" w:rsidRPr="00A83561" w:rsidSect="00801C8E">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E0" w:rsidRDefault="000D25E0" w:rsidP="00C55882">
      <w:pPr>
        <w:spacing w:after="0" w:line="240" w:lineRule="auto"/>
      </w:pPr>
      <w:r>
        <w:separator/>
      </w:r>
    </w:p>
  </w:endnote>
  <w:endnote w:type="continuationSeparator" w:id="0">
    <w:p w:rsidR="000D25E0" w:rsidRDefault="000D25E0" w:rsidP="00C5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84133895"/>
      <w:docPartObj>
        <w:docPartGallery w:val="Page Numbers (Bottom of Page)"/>
        <w:docPartUnique/>
      </w:docPartObj>
    </w:sdtPr>
    <w:sdtEndPr/>
    <w:sdtContent>
      <w:p w:rsidR="00A774D8" w:rsidRPr="00A774D8" w:rsidRDefault="00A774D8">
        <w:pPr>
          <w:pStyle w:val="Pieddepage"/>
          <w:jc w:val="center"/>
          <w:rPr>
            <w:rFonts w:ascii="Garamond" w:hAnsi="Garamond"/>
          </w:rPr>
        </w:pPr>
        <w:r w:rsidRPr="00A774D8">
          <w:rPr>
            <w:rFonts w:ascii="Garamond" w:hAnsi="Garamond"/>
          </w:rPr>
          <w:fldChar w:fldCharType="begin"/>
        </w:r>
        <w:r w:rsidRPr="00A774D8">
          <w:rPr>
            <w:rFonts w:ascii="Garamond" w:hAnsi="Garamond"/>
          </w:rPr>
          <w:instrText>PAGE   \* MERGEFORMAT</w:instrText>
        </w:r>
        <w:r w:rsidRPr="00A774D8">
          <w:rPr>
            <w:rFonts w:ascii="Garamond" w:hAnsi="Garamond"/>
          </w:rPr>
          <w:fldChar w:fldCharType="separate"/>
        </w:r>
        <w:r w:rsidR="00D73F5B">
          <w:rPr>
            <w:rFonts w:ascii="Garamond" w:hAnsi="Garamond"/>
            <w:noProof/>
          </w:rPr>
          <w:t>4</w:t>
        </w:r>
        <w:r w:rsidRPr="00A774D8">
          <w:rPr>
            <w:rFonts w:ascii="Garamond" w:hAnsi="Garamond"/>
          </w:rPr>
          <w:fldChar w:fldCharType="end"/>
        </w:r>
      </w:p>
    </w:sdtContent>
  </w:sdt>
  <w:p w:rsidR="00266404" w:rsidRPr="00A774D8" w:rsidRDefault="00266404">
    <w:pPr>
      <w:pStyle w:val="Pieddepage"/>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E0" w:rsidRDefault="000D25E0" w:rsidP="00C55882">
      <w:pPr>
        <w:spacing w:after="0" w:line="240" w:lineRule="auto"/>
      </w:pPr>
      <w:r>
        <w:separator/>
      </w:r>
    </w:p>
  </w:footnote>
  <w:footnote w:type="continuationSeparator" w:id="0">
    <w:p w:rsidR="000D25E0" w:rsidRDefault="000D25E0" w:rsidP="00C55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C1"/>
    <w:multiLevelType w:val="hybridMultilevel"/>
    <w:tmpl w:val="CD3620CA"/>
    <w:lvl w:ilvl="0" w:tplc="36D628C8">
      <w:start w:val="1"/>
      <w:numFmt w:val="decimal"/>
      <w:pStyle w:val="ParagrapheList"/>
      <w:lvlText w:val="%1."/>
      <w:lvlJc w:val="left"/>
      <w:pPr>
        <w:ind w:left="720" w:hanging="360"/>
      </w:pPr>
      <w:rPr>
        <w:rFonts w:ascii="Garamond" w:hAnsi="Garamond" w:hint="default"/>
        <w:b/>
        <w:i w:val="0"/>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12B8A"/>
    <w:multiLevelType w:val="hybridMultilevel"/>
    <w:tmpl w:val="10CEF89A"/>
    <w:lvl w:ilvl="0" w:tplc="3E827478">
      <w:start w:val="1"/>
      <w:numFmt w:val="decimal"/>
      <w:lvlText w:val="II.%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0DF4187"/>
    <w:multiLevelType w:val="hybridMultilevel"/>
    <w:tmpl w:val="7A6E6B2C"/>
    <w:lvl w:ilvl="0" w:tplc="E162FF5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C670C61"/>
    <w:multiLevelType w:val="hybridMultilevel"/>
    <w:tmpl w:val="0E760B66"/>
    <w:lvl w:ilvl="0" w:tplc="877069B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B85C5B"/>
    <w:multiLevelType w:val="hybridMultilevel"/>
    <w:tmpl w:val="B1860A74"/>
    <w:lvl w:ilvl="0" w:tplc="1566682A">
      <w:start w:val="1"/>
      <w:numFmt w:val="upperRoman"/>
      <w:lvlText w:val="%1."/>
      <w:lvlJc w:val="left"/>
      <w:pPr>
        <w:ind w:left="1440" w:hanging="720"/>
      </w:pPr>
      <w:rPr>
        <w:rFonts w:hint="default"/>
      </w:rPr>
    </w:lvl>
    <w:lvl w:ilvl="1" w:tplc="3E827478">
      <w:start w:val="1"/>
      <w:numFmt w:val="decimal"/>
      <w:lvlText w:val="II.%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B677553"/>
    <w:multiLevelType w:val="hybridMultilevel"/>
    <w:tmpl w:val="50E83532"/>
    <w:lvl w:ilvl="0" w:tplc="22AA3128">
      <w:start w:val="1"/>
      <w:numFmt w:val="bullet"/>
      <w:pStyle w:val="TiretList"/>
      <w:lvlText w:val=""/>
      <w:lvlJc w:val="left"/>
      <w:pPr>
        <w:ind w:left="1069"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0"/>
  </w:num>
  <w:num w:numId="5">
    <w:abstractNumId w:val="0"/>
  </w:num>
  <w:num w:numId="6">
    <w:abstractNumId w:val="3"/>
  </w:num>
  <w:num w:numId="7">
    <w:abstractNumId w:val="4"/>
  </w:num>
  <w:num w:numId="8">
    <w:abstractNumId w:val="1"/>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AB"/>
    <w:rsid w:val="00000B68"/>
    <w:rsid w:val="00042A33"/>
    <w:rsid w:val="000B0748"/>
    <w:rsid w:val="000C7E06"/>
    <w:rsid w:val="000D25E0"/>
    <w:rsid w:val="000E5881"/>
    <w:rsid w:val="001126B0"/>
    <w:rsid w:val="00142F14"/>
    <w:rsid w:val="00151CAB"/>
    <w:rsid w:val="00180E17"/>
    <w:rsid w:val="00182413"/>
    <w:rsid w:val="001949CB"/>
    <w:rsid w:val="001D426C"/>
    <w:rsid w:val="00204A98"/>
    <w:rsid w:val="00205AB9"/>
    <w:rsid w:val="002136D8"/>
    <w:rsid w:val="0023078E"/>
    <w:rsid w:val="00266404"/>
    <w:rsid w:val="002B11DA"/>
    <w:rsid w:val="00304175"/>
    <w:rsid w:val="003171D1"/>
    <w:rsid w:val="003546D2"/>
    <w:rsid w:val="003A7614"/>
    <w:rsid w:val="00407C3A"/>
    <w:rsid w:val="00457946"/>
    <w:rsid w:val="00465CFF"/>
    <w:rsid w:val="004B3272"/>
    <w:rsid w:val="004D67AF"/>
    <w:rsid w:val="00512974"/>
    <w:rsid w:val="0053785B"/>
    <w:rsid w:val="005C3EAA"/>
    <w:rsid w:val="00603A96"/>
    <w:rsid w:val="00653FB6"/>
    <w:rsid w:val="00654F07"/>
    <w:rsid w:val="00666D9B"/>
    <w:rsid w:val="006D6C1E"/>
    <w:rsid w:val="00746D58"/>
    <w:rsid w:val="00775007"/>
    <w:rsid w:val="00801C8E"/>
    <w:rsid w:val="008231FD"/>
    <w:rsid w:val="00830A28"/>
    <w:rsid w:val="00892C98"/>
    <w:rsid w:val="008F0D68"/>
    <w:rsid w:val="00972C50"/>
    <w:rsid w:val="009E124D"/>
    <w:rsid w:val="009E17EB"/>
    <w:rsid w:val="009E6928"/>
    <w:rsid w:val="00A049CE"/>
    <w:rsid w:val="00A33273"/>
    <w:rsid w:val="00A60A68"/>
    <w:rsid w:val="00A774D8"/>
    <w:rsid w:val="00A81244"/>
    <w:rsid w:val="00A83561"/>
    <w:rsid w:val="00AA70AB"/>
    <w:rsid w:val="00AB22F1"/>
    <w:rsid w:val="00B92DA1"/>
    <w:rsid w:val="00BA2E46"/>
    <w:rsid w:val="00C1739E"/>
    <w:rsid w:val="00C4241B"/>
    <w:rsid w:val="00C45C86"/>
    <w:rsid w:val="00C55882"/>
    <w:rsid w:val="00C60DE2"/>
    <w:rsid w:val="00C67AC8"/>
    <w:rsid w:val="00CD0550"/>
    <w:rsid w:val="00CD33F3"/>
    <w:rsid w:val="00D70FB4"/>
    <w:rsid w:val="00D73F5B"/>
    <w:rsid w:val="00E07570"/>
    <w:rsid w:val="00EA5497"/>
    <w:rsid w:val="00ED07F7"/>
    <w:rsid w:val="00EE379A"/>
    <w:rsid w:val="00F1660C"/>
    <w:rsid w:val="00F21F91"/>
    <w:rsid w:val="00F25595"/>
    <w:rsid w:val="00F645EA"/>
    <w:rsid w:val="00F9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A566"/>
  <w15:chartTrackingRefBased/>
  <w15:docId w15:val="{DEC7F8A0-80F9-42DD-9270-D6401E9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AA70AB"/>
    <w:pPr>
      <w:spacing w:after="140" w:line="288" w:lineRule="auto"/>
      <w:jc w:val="both"/>
    </w:pPr>
    <w:rPr>
      <w:rFonts w:ascii="Arial" w:eastAsia="Times New Roman" w:hAnsi="Arial" w:cs="Times New Roman"/>
      <w:kern w:val="20"/>
      <w:sz w:val="20"/>
      <w:szCs w:val="24"/>
      <w:lang w:eastAsia="en-GB"/>
    </w:rPr>
  </w:style>
  <w:style w:type="character" w:customStyle="1" w:styleId="BodyChar">
    <w:name w:val="Body Char"/>
    <w:link w:val="Body"/>
    <w:locked/>
    <w:rsid w:val="00AA70AB"/>
    <w:rPr>
      <w:rFonts w:ascii="Arial" w:eastAsia="Times New Roman" w:hAnsi="Arial" w:cs="Times New Roman"/>
      <w:kern w:val="20"/>
      <w:sz w:val="20"/>
      <w:szCs w:val="24"/>
      <w:lang w:eastAsia="en-GB"/>
    </w:rPr>
  </w:style>
  <w:style w:type="paragraph" w:styleId="Paragraphedeliste">
    <w:name w:val="List Paragraph"/>
    <w:basedOn w:val="Normal"/>
    <w:link w:val="ParagraphedelisteCar"/>
    <w:uiPriority w:val="34"/>
    <w:qFormat/>
    <w:rsid w:val="00AA70AB"/>
    <w:pPr>
      <w:ind w:left="720"/>
      <w:contextualSpacing/>
    </w:pPr>
  </w:style>
  <w:style w:type="paragraph" w:customStyle="1" w:styleId="ParagrapheList">
    <w:name w:val="Paragraphe List"/>
    <w:basedOn w:val="Paragraphedeliste"/>
    <w:rsid w:val="00AA70AB"/>
    <w:pPr>
      <w:numPr>
        <w:numId w:val="1"/>
      </w:numPr>
      <w:jc w:val="both"/>
    </w:pPr>
    <w:rPr>
      <w:rFonts w:ascii="Garamond" w:hAnsi="Garamond"/>
    </w:rPr>
  </w:style>
  <w:style w:type="paragraph" w:customStyle="1" w:styleId="Paragraphenormal">
    <w:name w:val="Paragraphe normal"/>
    <w:basedOn w:val="Paragraphedeliste"/>
    <w:link w:val="ParagraphenormalCar"/>
    <w:qFormat/>
    <w:rsid w:val="00AA70AB"/>
    <w:pPr>
      <w:jc w:val="both"/>
    </w:pPr>
    <w:rPr>
      <w:rFonts w:ascii="Garamond" w:hAnsi="Garamond"/>
    </w:rPr>
  </w:style>
  <w:style w:type="character" w:customStyle="1" w:styleId="ParagraphedelisteCar">
    <w:name w:val="Paragraphe de liste Car"/>
    <w:basedOn w:val="Policepardfaut"/>
    <w:link w:val="Paragraphedeliste"/>
    <w:uiPriority w:val="34"/>
    <w:rsid w:val="00AA70AB"/>
  </w:style>
  <w:style w:type="paragraph" w:customStyle="1" w:styleId="TiretList">
    <w:name w:val="Tiret List"/>
    <w:basedOn w:val="Paragraphedeliste"/>
    <w:link w:val="TiretListCar"/>
    <w:qFormat/>
    <w:rsid w:val="00AA70AB"/>
    <w:pPr>
      <w:numPr>
        <w:numId w:val="2"/>
      </w:numPr>
      <w:jc w:val="both"/>
    </w:pPr>
    <w:rPr>
      <w:rFonts w:ascii="Garamond" w:hAnsi="Garamond"/>
    </w:rPr>
  </w:style>
  <w:style w:type="character" w:customStyle="1" w:styleId="ParagraphenormalCar">
    <w:name w:val="Paragraphe normal Car"/>
    <w:basedOn w:val="ParagraphedelisteCar"/>
    <w:link w:val="Paragraphenormal"/>
    <w:rsid w:val="00AA70AB"/>
    <w:rPr>
      <w:rFonts w:ascii="Garamond" w:hAnsi="Garamond"/>
    </w:rPr>
  </w:style>
  <w:style w:type="paragraph" w:customStyle="1" w:styleId="Paragraphedeliste1">
    <w:name w:val="Paragraphe de liste1"/>
    <w:basedOn w:val="ParagrapheList"/>
    <w:link w:val="ListParagraphCar"/>
    <w:qFormat/>
    <w:rsid w:val="00AA70AB"/>
  </w:style>
  <w:style w:type="character" w:customStyle="1" w:styleId="TiretListCar">
    <w:name w:val="Tiret List Car"/>
    <w:basedOn w:val="ParagraphedelisteCar"/>
    <w:link w:val="TiretList"/>
    <w:rsid w:val="00AA70AB"/>
    <w:rPr>
      <w:rFonts w:ascii="Garamond" w:hAnsi="Garamond"/>
    </w:rPr>
  </w:style>
  <w:style w:type="character" w:customStyle="1" w:styleId="ListParagraphCar">
    <w:name w:val="List Paragraph Car"/>
    <w:basedOn w:val="Policepardfaut"/>
    <w:link w:val="Paragraphedeliste1"/>
    <w:rsid w:val="00AA70AB"/>
    <w:rPr>
      <w:rFonts w:ascii="Garamond" w:hAnsi="Garamond"/>
    </w:rPr>
  </w:style>
  <w:style w:type="paragraph" w:styleId="Notedebasdepage">
    <w:name w:val="footnote text"/>
    <w:basedOn w:val="Normal"/>
    <w:link w:val="NotedebasdepageCar"/>
    <w:uiPriority w:val="99"/>
    <w:semiHidden/>
    <w:unhideWhenUsed/>
    <w:rsid w:val="00C558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5882"/>
    <w:rPr>
      <w:sz w:val="20"/>
      <w:szCs w:val="20"/>
    </w:rPr>
  </w:style>
  <w:style w:type="character" w:styleId="Appelnotedebasdep">
    <w:name w:val="footnote reference"/>
    <w:basedOn w:val="Policepardfaut"/>
    <w:uiPriority w:val="99"/>
    <w:semiHidden/>
    <w:unhideWhenUsed/>
    <w:rsid w:val="00C55882"/>
    <w:rPr>
      <w:vertAlign w:val="superscript"/>
    </w:rPr>
  </w:style>
  <w:style w:type="paragraph" w:styleId="En-tte">
    <w:name w:val="header"/>
    <w:basedOn w:val="Normal"/>
    <w:link w:val="En-tteCar"/>
    <w:uiPriority w:val="99"/>
    <w:unhideWhenUsed/>
    <w:rsid w:val="00266404"/>
    <w:pPr>
      <w:tabs>
        <w:tab w:val="center" w:pos="4536"/>
        <w:tab w:val="right" w:pos="9072"/>
      </w:tabs>
      <w:spacing w:after="0" w:line="240" w:lineRule="auto"/>
    </w:pPr>
  </w:style>
  <w:style w:type="character" w:customStyle="1" w:styleId="En-tteCar">
    <w:name w:val="En-tête Car"/>
    <w:basedOn w:val="Policepardfaut"/>
    <w:link w:val="En-tte"/>
    <w:uiPriority w:val="99"/>
    <w:rsid w:val="00266404"/>
  </w:style>
  <w:style w:type="paragraph" w:styleId="Pieddepage">
    <w:name w:val="footer"/>
    <w:basedOn w:val="Normal"/>
    <w:link w:val="PieddepageCar"/>
    <w:uiPriority w:val="99"/>
    <w:unhideWhenUsed/>
    <w:rsid w:val="00266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404"/>
  </w:style>
  <w:style w:type="paragraph" w:styleId="Sansinterligne">
    <w:name w:val="No Spacing"/>
    <w:link w:val="SansinterligneCar"/>
    <w:uiPriority w:val="1"/>
    <w:qFormat/>
    <w:rsid w:val="00801C8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01C8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80628">
      <w:bodyDiv w:val="1"/>
      <w:marLeft w:val="0"/>
      <w:marRight w:val="0"/>
      <w:marTop w:val="0"/>
      <w:marBottom w:val="0"/>
      <w:divBdr>
        <w:top w:val="none" w:sz="0" w:space="0" w:color="auto"/>
        <w:left w:val="none" w:sz="0" w:space="0" w:color="auto"/>
        <w:bottom w:val="none" w:sz="0" w:space="0" w:color="auto"/>
        <w:right w:val="none" w:sz="0" w:space="0" w:color="auto"/>
      </w:divBdr>
    </w:div>
    <w:div w:id="19181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Bougartchev Moyne &amp; Associés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HAERI</dc:creator>
  <cp:keywords/>
  <dc:description/>
  <cp:lastModifiedBy>Nima HAERI</cp:lastModifiedBy>
  <cp:revision>18</cp:revision>
  <dcterms:created xsi:type="dcterms:W3CDTF">2018-10-23T16:29:00Z</dcterms:created>
  <dcterms:modified xsi:type="dcterms:W3CDTF">2018-12-19T15:06:00Z</dcterms:modified>
</cp:coreProperties>
</file>