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A70AB" w:rsidRPr="00830A28" w:rsidTr="006668B6">
        <w:tc>
          <w:tcPr>
            <w:tcW w:w="4531" w:type="dxa"/>
          </w:tcPr>
          <w:p w:rsidR="00AA70AB" w:rsidRPr="00830A28" w:rsidRDefault="00AA70AB" w:rsidP="006668B6">
            <w:pPr>
              <w:rPr>
                <w:rFonts w:ascii="Garamond" w:hAnsi="Garamond"/>
              </w:rPr>
            </w:pPr>
            <w:r w:rsidRPr="00830A28">
              <w:rPr>
                <w:rFonts w:ascii="Garamond" w:hAnsi="Garamond"/>
              </w:rPr>
              <w:t xml:space="preserve">N° du Parquet : </w:t>
            </w:r>
          </w:p>
          <w:p w:rsidR="00AA70AB" w:rsidRPr="00830A28" w:rsidRDefault="00AA70AB" w:rsidP="00400B4E">
            <w:pPr>
              <w:rPr>
                <w:rFonts w:ascii="Garamond" w:hAnsi="Garamond"/>
              </w:rPr>
            </w:pPr>
            <w:r w:rsidRPr="00830A28">
              <w:rPr>
                <w:rFonts w:ascii="Garamond" w:hAnsi="Garamond"/>
              </w:rPr>
              <w:t xml:space="preserve">Audience du </w:t>
            </w:r>
          </w:p>
        </w:tc>
        <w:tc>
          <w:tcPr>
            <w:tcW w:w="4531" w:type="dxa"/>
          </w:tcPr>
          <w:p w:rsidR="00AA70AB" w:rsidRPr="00830A28" w:rsidRDefault="002C32AF" w:rsidP="00A774D8">
            <w:pPr>
              <w:jc w:val="right"/>
              <w:rPr>
                <w:rFonts w:ascii="Garamond" w:hAnsi="Garamond"/>
              </w:rPr>
            </w:pPr>
            <w:r w:rsidRPr="00830A28">
              <w:rPr>
                <w:rFonts w:ascii="Garamond" w:hAnsi="Garamond"/>
              </w:rPr>
              <w:t>À</w:t>
            </w:r>
            <w:bookmarkStart w:id="0" w:name="_GoBack"/>
            <w:bookmarkEnd w:id="0"/>
            <w:r w:rsidR="00AA70AB" w:rsidRPr="00830A28">
              <w:rPr>
                <w:rFonts w:ascii="Garamond" w:hAnsi="Garamond"/>
              </w:rPr>
              <w:t xml:space="preserve"> Madame et Messieurs les </w:t>
            </w:r>
            <w:r w:rsidR="00AA70AB" w:rsidRPr="00830A28">
              <w:rPr>
                <w:rFonts w:ascii="Garamond" w:hAnsi="Garamond"/>
              </w:rPr>
              <w:br/>
              <w:t xml:space="preserve">Président et Assesseurs composant </w:t>
            </w:r>
            <w:r w:rsidR="00AA70AB" w:rsidRPr="00830A28">
              <w:rPr>
                <w:rFonts w:ascii="Garamond" w:hAnsi="Garamond"/>
              </w:rPr>
              <w:br/>
              <w:t>la 23</w:t>
            </w:r>
            <w:r w:rsidR="00AA70AB" w:rsidRPr="00830A28">
              <w:rPr>
                <w:rFonts w:ascii="Garamond" w:hAnsi="Garamond"/>
                <w:vertAlign w:val="superscript"/>
              </w:rPr>
              <w:t>e</w:t>
            </w:r>
            <w:r w:rsidR="00AA70AB" w:rsidRPr="00830A28">
              <w:rPr>
                <w:rFonts w:ascii="Garamond" w:hAnsi="Garamond"/>
              </w:rPr>
              <w:t xml:space="preserve"> Chambre correctionnelle </w:t>
            </w:r>
            <w:r w:rsidR="00AA70AB" w:rsidRPr="00830A28">
              <w:rPr>
                <w:rFonts w:ascii="Garamond" w:hAnsi="Garamond"/>
              </w:rPr>
              <w:br/>
              <w:t>du Tribunal de grande instance de Paris</w:t>
            </w:r>
          </w:p>
        </w:tc>
      </w:tr>
    </w:tbl>
    <w:p w:rsidR="00AA70AB" w:rsidRPr="00830A28" w:rsidRDefault="00AA70AB" w:rsidP="00AA70AB">
      <w:pPr>
        <w:rPr>
          <w:rFonts w:ascii="Garamond" w:hAnsi="Garamond"/>
        </w:rPr>
      </w:pPr>
    </w:p>
    <w:p w:rsidR="00AA70AB" w:rsidRPr="00830A28" w:rsidRDefault="00AA70AB" w:rsidP="00AA70AB">
      <w:pPr>
        <w:rPr>
          <w:rFonts w:ascii="Garamond" w:hAnsi="Garamond"/>
        </w:rPr>
      </w:pPr>
    </w:p>
    <w:p w:rsidR="00AA70AB" w:rsidRPr="00830A28" w:rsidRDefault="00AA70AB" w:rsidP="00AA70AB">
      <w:pPr>
        <w:rPr>
          <w:rFonts w:ascii="Garamond" w:hAnsi="Garamond"/>
        </w:rPr>
      </w:pPr>
    </w:p>
    <w:p w:rsidR="00AA70AB" w:rsidRPr="00830A28" w:rsidRDefault="00AA70AB" w:rsidP="00AA70AB">
      <w:pPr>
        <w:jc w:val="center"/>
        <w:rPr>
          <w:rFonts w:ascii="Garamond" w:hAnsi="Garamond"/>
          <w:b/>
          <w:smallCaps/>
          <w:sz w:val="32"/>
          <w:szCs w:val="32"/>
        </w:rPr>
      </w:pPr>
      <w:r w:rsidRPr="00830A28">
        <w:rPr>
          <w:rFonts w:ascii="Garamond" w:hAnsi="Garamond"/>
          <w:b/>
          <w:smallCaps/>
          <w:sz w:val="32"/>
          <w:szCs w:val="32"/>
        </w:rPr>
        <w:t xml:space="preserve">Conclusions in </w:t>
      </w:r>
      <w:proofErr w:type="spellStart"/>
      <w:r w:rsidRPr="00830A28">
        <w:rPr>
          <w:rFonts w:ascii="Garamond" w:hAnsi="Garamond"/>
          <w:b/>
          <w:smallCaps/>
          <w:sz w:val="32"/>
          <w:szCs w:val="32"/>
        </w:rPr>
        <w:t>limine</w:t>
      </w:r>
      <w:proofErr w:type="spellEnd"/>
      <w:r w:rsidRPr="00830A28">
        <w:rPr>
          <w:rFonts w:ascii="Garamond" w:hAnsi="Garamond"/>
          <w:b/>
          <w:smallCaps/>
          <w:sz w:val="32"/>
          <w:szCs w:val="32"/>
        </w:rPr>
        <w:t xml:space="preserve"> </w:t>
      </w:r>
      <w:proofErr w:type="spellStart"/>
      <w:r w:rsidRPr="00830A28">
        <w:rPr>
          <w:rFonts w:ascii="Garamond" w:hAnsi="Garamond"/>
          <w:b/>
          <w:smallCaps/>
          <w:sz w:val="32"/>
          <w:szCs w:val="32"/>
        </w:rPr>
        <w:t>litis</w:t>
      </w:r>
      <w:proofErr w:type="spellEnd"/>
    </w:p>
    <w:p w:rsidR="00AA70AB" w:rsidRPr="00830A28" w:rsidRDefault="00AA70AB" w:rsidP="00AA70AB">
      <w:pPr>
        <w:rPr>
          <w:rFonts w:ascii="Garamond" w:hAnsi="Garamond"/>
        </w:rPr>
      </w:pPr>
    </w:p>
    <w:p w:rsidR="00AA70AB" w:rsidRPr="00830A28" w:rsidRDefault="00AA70AB" w:rsidP="00AA70AB">
      <w:pPr>
        <w:pStyle w:val="Body"/>
        <w:tabs>
          <w:tab w:val="left" w:pos="1260"/>
        </w:tabs>
        <w:ind w:left="1134" w:hanging="1134"/>
        <w:rPr>
          <w:rFonts w:ascii="Garamond" w:hAnsi="Garamond"/>
          <w:sz w:val="22"/>
          <w:szCs w:val="22"/>
        </w:rPr>
      </w:pPr>
      <w:r w:rsidRPr="00830A28">
        <w:rPr>
          <w:rFonts w:ascii="Garamond" w:hAnsi="Garamond"/>
          <w:b/>
          <w:sz w:val="22"/>
          <w:szCs w:val="22"/>
          <w:u w:val="single"/>
        </w:rPr>
        <w:t>POUR</w:t>
      </w:r>
      <w:r w:rsidRPr="00830A28">
        <w:rPr>
          <w:rFonts w:ascii="Garamond" w:hAnsi="Garamond"/>
          <w:b/>
          <w:sz w:val="22"/>
          <w:szCs w:val="22"/>
        </w:rPr>
        <w:t> :</w:t>
      </w:r>
      <w:r w:rsidRPr="00830A28">
        <w:rPr>
          <w:rFonts w:ascii="Garamond" w:hAnsi="Garamond"/>
          <w:sz w:val="22"/>
          <w:szCs w:val="22"/>
        </w:rPr>
        <w:t xml:space="preserve"> </w:t>
      </w:r>
      <w:r w:rsidRPr="00830A28">
        <w:rPr>
          <w:rFonts w:ascii="Garamond" w:hAnsi="Garamond"/>
          <w:sz w:val="22"/>
          <w:szCs w:val="22"/>
        </w:rPr>
        <w:tab/>
      </w:r>
      <w:r w:rsidR="00801C8E" w:rsidRPr="00830A28">
        <w:rPr>
          <w:rFonts w:ascii="Garamond" w:hAnsi="Garamond"/>
          <w:b/>
          <w:sz w:val="22"/>
          <w:szCs w:val="22"/>
        </w:rPr>
        <w:t xml:space="preserve">                                  </w:t>
      </w:r>
      <w:r w:rsidRPr="00830A28">
        <w:rPr>
          <w:rFonts w:ascii="Garamond" w:hAnsi="Garamond"/>
          <w:sz w:val="22"/>
          <w:szCs w:val="22"/>
        </w:rPr>
        <w:t>, né</w:t>
      </w:r>
      <w:r w:rsidR="00801C8E" w:rsidRPr="00830A28">
        <w:rPr>
          <w:rFonts w:ascii="Garamond" w:hAnsi="Garamond"/>
          <w:sz w:val="22"/>
          <w:szCs w:val="22"/>
        </w:rPr>
        <w:t xml:space="preserve">  </w:t>
      </w:r>
      <w:r w:rsidRPr="00830A28">
        <w:rPr>
          <w:rFonts w:ascii="Garamond" w:hAnsi="Garamond"/>
          <w:sz w:val="22"/>
          <w:szCs w:val="22"/>
        </w:rPr>
        <w:t xml:space="preserve">le </w:t>
      </w:r>
      <w:r w:rsidR="00801C8E" w:rsidRPr="00830A28">
        <w:rPr>
          <w:rFonts w:ascii="Garamond" w:hAnsi="Garamond"/>
          <w:sz w:val="22"/>
          <w:szCs w:val="22"/>
        </w:rPr>
        <w:t xml:space="preserve">                          </w:t>
      </w:r>
      <w:r w:rsidRPr="00830A28">
        <w:rPr>
          <w:rFonts w:ascii="Garamond" w:hAnsi="Garamond"/>
          <w:sz w:val="22"/>
          <w:szCs w:val="22"/>
        </w:rPr>
        <w:t xml:space="preserve">à </w:t>
      </w:r>
      <w:r w:rsidR="00801C8E" w:rsidRPr="00830A28">
        <w:rPr>
          <w:rFonts w:ascii="Garamond" w:hAnsi="Garamond"/>
          <w:sz w:val="22"/>
          <w:szCs w:val="22"/>
        </w:rPr>
        <w:t xml:space="preserve">                              </w:t>
      </w:r>
    </w:p>
    <w:p w:rsidR="00AA70AB" w:rsidRPr="00830A28" w:rsidRDefault="00AA70AB" w:rsidP="00AA70AB">
      <w:pPr>
        <w:pStyle w:val="Body"/>
        <w:tabs>
          <w:tab w:val="left" w:pos="1134"/>
        </w:tabs>
        <w:ind w:left="1134" w:hanging="1260"/>
        <w:rPr>
          <w:rFonts w:ascii="Garamond" w:hAnsi="Garamond"/>
          <w:sz w:val="22"/>
          <w:szCs w:val="22"/>
        </w:rPr>
      </w:pPr>
      <w:r w:rsidRPr="00830A28">
        <w:rPr>
          <w:rFonts w:ascii="Garamond" w:hAnsi="Garamond"/>
          <w:sz w:val="22"/>
          <w:szCs w:val="22"/>
        </w:rPr>
        <w:tab/>
      </w:r>
    </w:p>
    <w:p w:rsidR="00AA70AB" w:rsidRPr="00830A28" w:rsidRDefault="00AA70AB" w:rsidP="00AA70AB">
      <w:pPr>
        <w:pStyle w:val="Body"/>
        <w:tabs>
          <w:tab w:val="left" w:pos="1134"/>
        </w:tabs>
        <w:ind w:left="1134" w:hanging="1260"/>
        <w:rPr>
          <w:rFonts w:ascii="Garamond" w:hAnsi="Garamond"/>
          <w:sz w:val="22"/>
          <w:szCs w:val="22"/>
        </w:rPr>
      </w:pPr>
    </w:p>
    <w:p w:rsidR="00AA70AB" w:rsidRPr="00830A28" w:rsidRDefault="00AA70AB" w:rsidP="00AA70AB">
      <w:pPr>
        <w:pStyle w:val="Body"/>
        <w:tabs>
          <w:tab w:val="left" w:pos="1134"/>
        </w:tabs>
        <w:ind w:left="1968" w:hanging="1260"/>
        <w:jc w:val="right"/>
        <w:rPr>
          <w:rFonts w:ascii="Garamond" w:hAnsi="Garamond"/>
          <w:sz w:val="22"/>
          <w:szCs w:val="22"/>
        </w:rPr>
      </w:pPr>
      <w:r w:rsidRPr="00830A28">
        <w:rPr>
          <w:rFonts w:ascii="Garamond" w:hAnsi="Garamond"/>
          <w:sz w:val="22"/>
          <w:szCs w:val="22"/>
        </w:rPr>
        <w:tab/>
      </w:r>
    </w:p>
    <w:p w:rsidR="00AA70AB" w:rsidRPr="00830A28" w:rsidRDefault="00AA70AB" w:rsidP="00AA70AB">
      <w:pPr>
        <w:pStyle w:val="Body"/>
        <w:tabs>
          <w:tab w:val="left" w:pos="1134"/>
        </w:tabs>
        <w:ind w:left="1968" w:hanging="1260"/>
        <w:jc w:val="right"/>
        <w:rPr>
          <w:rFonts w:ascii="Garamond" w:hAnsi="Garamond"/>
          <w:sz w:val="22"/>
          <w:szCs w:val="22"/>
        </w:rPr>
      </w:pPr>
    </w:p>
    <w:p w:rsidR="00AA70AB" w:rsidRPr="00830A28" w:rsidRDefault="00AA70AB" w:rsidP="00AA70AB">
      <w:pPr>
        <w:pStyle w:val="Body"/>
        <w:tabs>
          <w:tab w:val="left" w:pos="1134"/>
        </w:tabs>
        <w:ind w:left="1968" w:hanging="1260"/>
        <w:jc w:val="right"/>
        <w:rPr>
          <w:rFonts w:ascii="Garamond" w:hAnsi="Garamond"/>
          <w:sz w:val="22"/>
          <w:szCs w:val="22"/>
        </w:rPr>
      </w:pPr>
      <w:r w:rsidRPr="00830A28">
        <w:rPr>
          <w:rFonts w:ascii="Garamond" w:hAnsi="Garamond"/>
          <w:sz w:val="22"/>
          <w:szCs w:val="22"/>
        </w:rPr>
        <w:t>Ci-après, le « </w:t>
      </w:r>
      <w:r w:rsidRPr="00830A28">
        <w:rPr>
          <w:rFonts w:ascii="Garamond" w:hAnsi="Garamond"/>
          <w:b/>
          <w:sz w:val="22"/>
          <w:szCs w:val="22"/>
        </w:rPr>
        <w:t>Concluant</w:t>
      </w:r>
      <w:r w:rsidRPr="00830A28">
        <w:rPr>
          <w:rFonts w:ascii="Garamond" w:hAnsi="Garamond"/>
          <w:sz w:val="22"/>
          <w:szCs w:val="22"/>
        </w:rPr>
        <w:t> »,</w:t>
      </w:r>
    </w:p>
    <w:p w:rsidR="00AA70AB" w:rsidRPr="00830A28" w:rsidRDefault="00AA70AB" w:rsidP="00AA70AB">
      <w:pPr>
        <w:pStyle w:val="Body"/>
        <w:tabs>
          <w:tab w:val="left" w:pos="1134"/>
        </w:tabs>
        <w:ind w:left="1134" w:hanging="1260"/>
        <w:rPr>
          <w:rFonts w:ascii="Garamond" w:hAnsi="Garamond"/>
          <w:i/>
          <w:sz w:val="22"/>
          <w:szCs w:val="22"/>
        </w:rPr>
      </w:pPr>
      <w:r w:rsidRPr="00830A28">
        <w:rPr>
          <w:rFonts w:ascii="Garamond" w:hAnsi="Garamond"/>
          <w:sz w:val="22"/>
          <w:szCs w:val="22"/>
        </w:rPr>
        <w:tab/>
      </w:r>
    </w:p>
    <w:p w:rsidR="00AA70AB" w:rsidRPr="00830A28" w:rsidRDefault="00AA70AB" w:rsidP="00AA70AB">
      <w:pPr>
        <w:pStyle w:val="Body"/>
        <w:tabs>
          <w:tab w:val="left" w:pos="1260"/>
        </w:tabs>
        <w:spacing w:after="0"/>
        <w:ind w:left="3958"/>
        <w:rPr>
          <w:rFonts w:ascii="Garamond" w:hAnsi="Garamond"/>
          <w:b/>
          <w:sz w:val="22"/>
          <w:szCs w:val="22"/>
        </w:rPr>
      </w:pPr>
      <w:r w:rsidRPr="00830A28">
        <w:rPr>
          <w:rFonts w:ascii="Garamond" w:hAnsi="Garamond"/>
          <w:b/>
          <w:sz w:val="22"/>
          <w:szCs w:val="22"/>
          <w:u w:val="single"/>
        </w:rPr>
        <w:t>Ayant pour Avocat</w:t>
      </w:r>
      <w:r w:rsidRPr="00830A28">
        <w:rPr>
          <w:rFonts w:ascii="Garamond" w:hAnsi="Garamond"/>
          <w:b/>
          <w:sz w:val="22"/>
          <w:szCs w:val="22"/>
        </w:rPr>
        <w:t> :</w:t>
      </w:r>
    </w:p>
    <w:p w:rsidR="00AA70AB" w:rsidRPr="00830A28" w:rsidRDefault="00AA70AB" w:rsidP="00AA70AB">
      <w:pPr>
        <w:pStyle w:val="Body"/>
        <w:tabs>
          <w:tab w:val="left" w:pos="1260"/>
        </w:tabs>
        <w:spacing w:after="0"/>
        <w:ind w:left="3958"/>
        <w:rPr>
          <w:rFonts w:ascii="Garamond" w:hAnsi="Garamond"/>
          <w:b/>
          <w:sz w:val="22"/>
          <w:szCs w:val="22"/>
        </w:rPr>
      </w:pPr>
    </w:p>
    <w:p w:rsidR="00AA70AB" w:rsidRPr="00830A28" w:rsidRDefault="00AA70AB" w:rsidP="00AA70AB">
      <w:pPr>
        <w:pStyle w:val="Body"/>
        <w:tabs>
          <w:tab w:val="left" w:pos="1260"/>
        </w:tabs>
        <w:spacing w:after="0"/>
        <w:ind w:left="3958"/>
        <w:rPr>
          <w:rFonts w:ascii="Garamond" w:hAnsi="Garamond"/>
          <w:b/>
          <w:sz w:val="22"/>
          <w:szCs w:val="22"/>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b/>
          <w:sz w:val="22"/>
          <w:szCs w:val="22"/>
          <w:u w:val="single"/>
        </w:rPr>
      </w:pPr>
    </w:p>
    <w:p w:rsidR="00AA70AB" w:rsidRPr="00830A28" w:rsidRDefault="00AA70AB" w:rsidP="00AA70AB">
      <w:pPr>
        <w:pStyle w:val="Body"/>
        <w:tabs>
          <w:tab w:val="left" w:pos="1260"/>
        </w:tabs>
        <w:ind w:left="1260" w:hanging="1260"/>
        <w:rPr>
          <w:rFonts w:ascii="Garamond" w:hAnsi="Garamond"/>
        </w:rPr>
      </w:pPr>
      <w:r w:rsidRPr="00830A28">
        <w:rPr>
          <w:rFonts w:ascii="Garamond" w:hAnsi="Garamond"/>
          <w:b/>
          <w:sz w:val="22"/>
          <w:szCs w:val="22"/>
          <w:u w:val="single"/>
        </w:rPr>
        <w:t>CONTRE</w:t>
      </w:r>
      <w:r w:rsidRPr="00830A28">
        <w:rPr>
          <w:rFonts w:ascii="Garamond" w:hAnsi="Garamond"/>
          <w:b/>
          <w:sz w:val="22"/>
          <w:szCs w:val="22"/>
        </w:rPr>
        <w:t> :</w:t>
      </w:r>
      <w:r w:rsidRPr="00830A28">
        <w:rPr>
          <w:rFonts w:ascii="Garamond" w:hAnsi="Garamond"/>
          <w:sz w:val="22"/>
          <w:szCs w:val="22"/>
        </w:rPr>
        <w:t xml:space="preserve"> </w:t>
      </w:r>
      <w:r w:rsidRPr="00830A28">
        <w:rPr>
          <w:rFonts w:ascii="Garamond" w:hAnsi="Garamond"/>
          <w:sz w:val="22"/>
          <w:szCs w:val="22"/>
        </w:rPr>
        <w:tab/>
      </w:r>
      <w:r w:rsidRPr="00830A28">
        <w:rPr>
          <w:rFonts w:ascii="Garamond" w:hAnsi="Garamond"/>
          <w:b/>
          <w:bCs/>
          <w:sz w:val="22"/>
          <w:szCs w:val="22"/>
        </w:rPr>
        <w:t>le Ministère public</w:t>
      </w:r>
      <w:r w:rsidRPr="00830A28">
        <w:rPr>
          <w:rFonts w:ascii="Garamond" w:hAnsi="Garamond"/>
          <w:b/>
          <w:sz w:val="22"/>
          <w:szCs w:val="22"/>
        </w:rPr>
        <w:t xml:space="preserve"> </w:t>
      </w:r>
      <w:r w:rsidRPr="00830A28">
        <w:rPr>
          <w:rFonts w:ascii="Garamond" w:hAnsi="Garamond"/>
        </w:rPr>
        <w:br w:type="page"/>
      </w:r>
    </w:p>
    <w:p w:rsidR="00AA70AB" w:rsidRPr="00830A28" w:rsidRDefault="00AA70AB" w:rsidP="00AA70AB">
      <w:pPr>
        <w:jc w:val="center"/>
        <w:rPr>
          <w:rFonts w:ascii="Garamond" w:hAnsi="Garamond"/>
          <w:b/>
          <w:smallCaps/>
          <w:sz w:val="28"/>
          <w:szCs w:val="28"/>
        </w:rPr>
      </w:pPr>
      <w:r w:rsidRPr="00830A28">
        <w:rPr>
          <w:rFonts w:ascii="Garamond" w:hAnsi="Garamond"/>
          <w:b/>
          <w:smallCaps/>
          <w:sz w:val="28"/>
          <w:szCs w:val="28"/>
        </w:rPr>
        <w:lastRenderedPageBreak/>
        <w:t xml:space="preserve">Plaise </w:t>
      </w:r>
      <w:r w:rsidR="00654F07">
        <w:rPr>
          <w:rFonts w:ascii="Garamond" w:hAnsi="Garamond"/>
          <w:b/>
          <w:smallCaps/>
          <w:sz w:val="28"/>
          <w:szCs w:val="28"/>
        </w:rPr>
        <w:t>a</w:t>
      </w:r>
      <w:r w:rsidRPr="00830A28">
        <w:rPr>
          <w:rFonts w:ascii="Garamond" w:hAnsi="Garamond"/>
          <w:b/>
          <w:smallCaps/>
          <w:sz w:val="28"/>
          <w:szCs w:val="28"/>
        </w:rPr>
        <w:t xml:space="preserve">u Tribunal </w:t>
      </w:r>
    </w:p>
    <w:p w:rsidR="00AA70AB" w:rsidRPr="00830A28" w:rsidRDefault="00AA70AB" w:rsidP="00AA70AB">
      <w:pPr>
        <w:rPr>
          <w:rFonts w:ascii="Garamond" w:hAnsi="Garamond"/>
        </w:rPr>
      </w:pPr>
    </w:p>
    <w:p w:rsidR="00AA70AB" w:rsidRPr="00F540B5" w:rsidRDefault="00B53D4A" w:rsidP="00F540B5">
      <w:pPr>
        <w:pStyle w:val="Paragraphedeliste1"/>
        <w:spacing w:line="276" w:lineRule="auto"/>
        <w:rPr>
          <w:sz w:val="23"/>
          <w:szCs w:val="23"/>
        </w:rPr>
      </w:pPr>
      <w:r w:rsidRPr="00F540B5">
        <w:rPr>
          <w:sz w:val="23"/>
          <w:szCs w:val="23"/>
        </w:rPr>
        <w:t xml:space="preserve">Le Concluant, renvoyé </w:t>
      </w:r>
      <w:r w:rsidR="00AA70AB" w:rsidRPr="00F540B5">
        <w:rPr>
          <w:sz w:val="23"/>
          <w:szCs w:val="23"/>
        </w:rPr>
        <w:t>devant la juridiction de céans pour des faits</w:t>
      </w:r>
      <w:r w:rsidR="000C7E06" w:rsidRPr="00F540B5">
        <w:rPr>
          <w:sz w:val="23"/>
          <w:szCs w:val="23"/>
        </w:rPr>
        <w:t xml:space="preserve"> de </w:t>
      </w:r>
      <w:r w:rsidR="00801C8E" w:rsidRPr="00F540B5">
        <w:rPr>
          <w:sz w:val="23"/>
          <w:szCs w:val="23"/>
        </w:rPr>
        <w:t xml:space="preserve">              </w:t>
      </w:r>
      <w:r w:rsidRPr="00F540B5">
        <w:rPr>
          <w:sz w:val="23"/>
          <w:szCs w:val="23"/>
        </w:rPr>
        <w:t xml:space="preserve">                                           </w:t>
      </w:r>
      <w:r w:rsidR="00801C8E" w:rsidRPr="00F540B5">
        <w:rPr>
          <w:sz w:val="23"/>
          <w:szCs w:val="23"/>
        </w:rPr>
        <w:t xml:space="preserve">   </w:t>
      </w:r>
      <w:r w:rsidR="00AA70AB" w:rsidRPr="00F540B5">
        <w:rPr>
          <w:sz w:val="23"/>
          <w:szCs w:val="23"/>
        </w:rPr>
        <w:t xml:space="preserve">, a été placé en garde à vue le </w:t>
      </w:r>
      <w:r w:rsidR="00A774D8" w:rsidRPr="00F540B5">
        <w:rPr>
          <w:sz w:val="23"/>
          <w:szCs w:val="23"/>
        </w:rPr>
        <w:t xml:space="preserve">                                   </w:t>
      </w:r>
      <w:r w:rsidR="00AA70AB" w:rsidRPr="00F540B5">
        <w:rPr>
          <w:sz w:val="23"/>
          <w:szCs w:val="23"/>
        </w:rPr>
        <w:t>.</w:t>
      </w:r>
    </w:p>
    <w:p w:rsidR="00AA70AB" w:rsidRPr="00F540B5" w:rsidRDefault="001126B0" w:rsidP="00F540B5">
      <w:pPr>
        <w:pStyle w:val="Paragraphenormal"/>
        <w:spacing w:line="276" w:lineRule="auto"/>
        <w:rPr>
          <w:sz w:val="23"/>
          <w:szCs w:val="23"/>
        </w:rPr>
      </w:pPr>
      <w:r w:rsidRPr="00F540B5">
        <w:rPr>
          <w:sz w:val="23"/>
          <w:szCs w:val="23"/>
        </w:rPr>
        <w:t>Il reste que l</w:t>
      </w:r>
      <w:r w:rsidR="000C7E06" w:rsidRPr="00F540B5">
        <w:rPr>
          <w:sz w:val="23"/>
          <w:szCs w:val="23"/>
        </w:rPr>
        <w:t>a notification de ses droits comme l</w:t>
      </w:r>
      <w:r w:rsidRPr="00F540B5">
        <w:rPr>
          <w:sz w:val="23"/>
          <w:szCs w:val="23"/>
        </w:rPr>
        <w:t xml:space="preserve">’avis </w:t>
      </w:r>
      <w:r w:rsidR="000C7E06" w:rsidRPr="00F540B5">
        <w:rPr>
          <w:sz w:val="23"/>
          <w:szCs w:val="23"/>
        </w:rPr>
        <w:t>a</w:t>
      </w:r>
      <w:r w:rsidRPr="00F540B5">
        <w:rPr>
          <w:sz w:val="23"/>
          <w:szCs w:val="23"/>
        </w:rPr>
        <w:t xml:space="preserve">u Procureur de la république transmis à la suite de l’interpellation du concluant et l’informant de cette mesure </w:t>
      </w:r>
      <w:r w:rsidR="000C7E06" w:rsidRPr="00F540B5">
        <w:rPr>
          <w:sz w:val="23"/>
          <w:szCs w:val="23"/>
        </w:rPr>
        <w:t>sont</w:t>
      </w:r>
      <w:r w:rsidRPr="00F540B5">
        <w:rPr>
          <w:sz w:val="23"/>
          <w:szCs w:val="23"/>
        </w:rPr>
        <w:t xml:space="preserve"> irrégulier</w:t>
      </w:r>
      <w:r w:rsidR="000C7E06" w:rsidRPr="00F540B5">
        <w:rPr>
          <w:sz w:val="23"/>
          <w:szCs w:val="23"/>
        </w:rPr>
        <w:t>s</w:t>
      </w:r>
      <w:r w:rsidRPr="00F540B5">
        <w:rPr>
          <w:sz w:val="23"/>
          <w:szCs w:val="23"/>
        </w:rPr>
        <w:t xml:space="preserve">, en sorte </w:t>
      </w:r>
      <w:r w:rsidR="00653FB6" w:rsidRPr="00F540B5">
        <w:rPr>
          <w:sz w:val="23"/>
          <w:szCs w:val="23"/>
        </w:rPr>
        <w:t>que le Tribunal prononcera sa nullité ainsi que celle de l’intégralité de la garde à vue.</w:t>
      </w:r>
    </w:p>
    <w:p w:rsidR="000C7E06" w:rsidRPr="00F540B5" w:rsidRDefault="000C7E06" w:rsidP="00F540B5">
      <w:pPr>
        <w:pStyle w:val="Paragraphenormal"/>
        <w:spacing w:line="276" w:lineRule="auto"/>
        <w:rPr>
          <w:sz w:val="23"/>
          <w:szCs w:val="23"/>
        </w:rPr>
      </w:pPr>
    </w:p>
    <w:p w:rsidR="000C7E06" w:rsidRPr="00F540B5" w:rsidRDefault="000C7E06" w:rsidP="00F540B5">
      <w:pPr>
        <w:pStyle w:val="Paragraphenormal"/>
        <w:spacing w:line="276" w:lineRule="auto"/>
        <w:rPr>
          <w:sz w:val="23"/>
          <w:szCs w:val="23"/>
        </w:rPr>
      </w:pPr>
    </w:p>
    <w:p w:rsidR="000C7E06" w:rsidRPr="00F540B5" w:rsidRDefault="000C7E06" w:rsidP="00F540B5">
      <w:pPr>
        <w:pStyle w:val="Paragraphenormal"/>
        <w:numPr>
          <w:ilvl w:val="0"/>
          <w:numId w:val="7"/>
        </w:numPr>
        <w:spacing w:line="276" w:lineRule="auto"/>
        <w:rPr>
          <w:b/>
          <w:sz w:val="23"/>
          <w:szCs w:val="23"/>
          <w:u w:val="single"/>
        </w:rPr>
      </w:pPr>
      <w:r w:rsidRPr="00F540B5">
        <w:rPr>
          <w:b/>
          <w:sz w:val="23"/>
          <w:szCs w:val="23"/>
          <w:u w:val="single"/>
        </w:rPr>
        <w:t>Rappel des faits et de la procédure</w:t>
      </w:r>
    </w:p>
    <w:p w:rsidR="000C7E06" w:rsidRPr="00F540B5" w:rsidRDefault="000C7E06" w:rsidP="00F540B5">
      <w:pPr>
        <w:pStyle w:val="Paragraphedeliste1"/>
        <w:numPr>
          <w:ilvl w:val="0"/>
          <w:numId w:val="0"/>
        </w:numPr>
        <w:spacing w:line="276" w:lineRule="auto"/>
        <w:ind w:left="720"/>
        <w:rPr>
          <w:sz w:val="23"/>
          <w:szCs w:val="23"/>
        </w:rPr>
      </w:pPr>
    </w:p>
    <w:p w:rsidR="000C7E06" w:rsidRPr="00F540B5" w:rsidRDefault="000C7E06" w:rsidP="00F540B5">
      <w:pPr>
        <w:pStyle w:val="Paragraphedeliste1"/>
        <w:spacing w:line="276" w:lineRule="auto"/>
        <w:rPr>
          <w:sz w:val="23"/>
          <w:szCs w:val="23"/>
        </w:rPr>
      </w:pPr>
      <w:r w:rsidRPr="00F540B5">
        <w:rPr>
          <w:sz w:val="23"/>
          <w:szCs w:val="23"/>
        </w:rPr>
        <w:t xml:space="preserve"> </w:t>
      </w:r>
    </w:p>
    <w:p w:rsidR="000C7E06" w:rsidRPr="00F540B5" w:rsidRDefault="000C7E06" w:rsidP="00F540B5">
      <w:pPr>
        <w:pStyle w:val="Paragraphedeliste1"/>
        <w:numPr>
          <w:ilvl w:val="0"/>
          <w:numId w:val="0"/>
        </w:numPr>
        <w:spacing w:line="276" w:lineRule="auto"/>
        <w:ind w:left="720"/>
        <w:rPr>
          <w:sz w:val="23"/>
          <w:szCs w:val="23"/>
        </w:rPr>
      </w:pPr>
    </w:p>
    <w:p w:rsidR="00F645EA" w:rsidRPr="00F540B5" w:rsidRDefault="00F645EA"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A774D8" w:rsidRPr="00F540B5" w:rsidRDefault="00A774D8" w:rsidP="00F540B5">
      <w:pPr>
        <w:pStyle w:val="Paragraphedeliste1"/>
        <w:numPr>
          <w:ilvl w:val="0"/>
          <w:numId w:val="0"/>
        </w:numPr>
        <w:spacing w:line="276" w:lineRule="auto"/>
        <w:ind w:left="720"/>
        <w:rPr>
          <w:sz w:val="23"/>
          <w:szCs w:val="23"/>
        </w:rPr>
      </w:pPr>
    </w:p>
    <w:p w:rsidR="00F645EA" w:rsidRPr="00F540B5" w:rsidRDefault="00F645EA" w:rsidP="00F540B5">
      <w:pPr>
        <w:pStyle w:val="Paragraphenormal"/>
        <w:numPr>
          <w:ilvl w:val="0"/>
          <w:numId w:val="7"/>
        </w:numPr>
        <w:spacing w:line="276" w:lineRule="auto"/>
        <w:rPr>
          <w:b/>
          <w:sz w:val="23"/>
          <w:szCs w:val="23"/>
          <w:u w:val="single"/>
        </w:rPr>
      </w:pPr>
      <w:r w:rsidRPr="00F540B5">
        <w:rPr>
          <w:b/>
          <w:sz w:val="23"/>
          <w:szCs w:val="23"/>
          <w:u w:val="single"/>
        </w:rPr>
        <w:t>Discussion</w:t>
      </w:r>
    </w:p>
    <w:p w:rsidR="00F645EA" w:rsidRPr="00F540B5" w:rsidRDefault="00F645EA" w:rsidP="00F540B5">
      <w:pPr>
        <w:pStyle w:val="Paragraphenormal"/>
        <w:spacing w:line="276" w:lineRule="auto"/>
        <w:ind w:left="1440"/>
        <w:rPr>
          <w:b/>
          <w:sz w:val="23"/>
          <w:szCs w:val="23"/>
          <w:u w:val="single"/>
        </w:rPr>
      </w:pPr>
    </w:p>
    <w:p w:rsidR="00F645EA" w:rsidRPr="00F540B5" w:rsidRDefault="00F645EA" w:rsidP="00F540B5">
      <w:pPr>
        <w:pStyle w:val="Paragraphenormal"/>
        <w:numPr>
          <w:ilvl w:val="1"/>
          <w:numId w:val="7"/>
        </w:numPr>
        <w:spacing w:line="276" w:lineRule="auto"/>
        <w:rPr>
          <w:b/>
          <w:sz w:val="23"/>
          <w:szCs w:val="23"/>
        </w:rPr>
      </w:pPr>
      <w:r w:rsidRPr="00F540B5">
        <w:rPr>
          <w:b/>
          <w:sz w:val="23"/>
          <w:szCs w:val="23"/>
        </w:rPr>
        <w:t>Sur le délai de notification des droits</w:t>
      </w:r>
    </w:p>
    <w:p w:rsidR="00F645EA" w:rsidRPr="00F540B5" w:rsidRDefault="00F645EA" w:rsidP="00F540B5">
      <w:pPr>
        <w:pStyle w:val="Paragraphedeliste1"/>
        <w:spacing w:line="276" w:lineRule="auto"/>
        <w:rPr>
          <w:sz w:val="23"/>
          <w:szCs w:val="23"/>
        </w:rPr>
      </w:pPr>
      <w:r w:rsidRPr="00F540B5">
        <w:rPr>
          <w:sz w:val="23"/>
          <w:szCs w:val="23"/>
        </w:rPr>
        <w:t>L’article 63-1 du code de procédure pénale</w:t>
      </w:r>
      <w:r w:rsidR="00205AB9" w:rsidRPr="00F540B5">
        <w:rPr>
          <w:sz w:val="23"/>
          <w:szCs w:val="23"/>
        </w:rPr>
        <w:t xml:space="preserve"> (« </w:t>
      </w:r>
      <w:r w:rsidR="00205AB9" w:rsidRPr="00F540B5">
        <w:rPr>
          <w:b/>
          <w:sz w:val="23"/>
          <w:szCs w:val="23"/>
        </w:rPr>
        <w:t>CPP</w:t>
      </w:r>
      <w:r w:rsidR="00205AB9" w:rsidRPr="00F540B5">
        <w:rPr>
          <w:sz w:val="23"/>
          <w:szCs w:val="23"/>
        </w:rPr>
        <w:t> »)</w:t>
      </w:r>
      <w:r w:rsidRPr="00F540B5">
        <w:rPr>
          <w:sz w:val="23"/>
          <w:szCs w:val="23"/>
        </w:rPr>
        <w:t xml:space="preserve"> </w:t>
      </w:r>
      <w:r w:rsidR="00205AB9" w:rsidRPr="00F540B5">
        <w:rPr>
          <w:sz w:val="23"/>
          <w:szCs w:val="23"/>
        </w:rPr>
        <w:t>prévoit que « </w:t>
      </w:r>
      <w:r w:rsidR="00205AB9" w:rsidRPr="00F540B5">
        <w:rPr>
          <w:i/>
          <w:sz w:val="23"/>
          <w:szCs w:val="23"/>
        </w:rPr>
        <w:t xml:space="preserve">la personne placée en garde à vue est </w:t>
      </w:r>
      <w:r w:rsidR="00205AB9" w:rsidRPr="00F540B5">
        <w:rPr>
          <w:b/>
          <w:i/>
          <w:sz w:val="23"/>
          <w:szCs w:val="23"/>
        </w:rPr>
        <w:t>immédiatement informée</w:t>
      </w:r>
      <w:r w:rsidR="00205AB9" w:rsidRPr="00F540B5">
        <w:rPr>
          <w:b/>
          <w:sz w:val="23"/>
          <w:szCs w:val="23"/>
        </w:rPr>
        <w:t xml:space="preserve"> </w:t>
      </w:r>
      <w:r w:rsidR="00205AB9" w:rsidRPr="00F540B5">
        <w:rPr>
          <w:sz w:val="23"/>
          <w:szCs w:val="23"/>
        </w:rPr>
        <w:t xml:space="preserve">[de ses droits] </w:t>
      </w:r>
      <w:r w:rsidR="00205AB9" w:rsidRPr="00F540B5">
        <w:rPr>
          <w:i/>
          <w:sz w:val="23"/>
          <w:szCs w:val="23"/>
        </w:rPr>
        <w:t xml:space="preserve">par un officier de police judiciaire ou, sous le contrôle de celui-ci, par un agent de police judiciaire, dans une langue qu’elle comprend, le cas échéant au moyen du formulaire prévu au treizième alinéa (…). Mention de l’information donnée en application du présent article est portée au </w:t>
      </w:r>
      <w:r w:rsidR="00205AB9" w:rsidRPr="00F540B5">
        <w:rPr>
          <w:i/>
          <w:sz w:val="23"/>
          <w:szCs w:val="23"/>
        </w:rPr>
        <w:lastRenderedPageBreak/>
        <w:t>procès-verbal de déroulement de la garde à vue et émargée par la personne gardée à vue. En cas de refus d’émargement, il en est fait mention</w:t>
      </w:r>
      <w:r w:rsidR="00205AB9" w:rsidRPr="00F540B5">
        <w:rPr>
          <w:sz w:val="23"/>
          <w:szCs w:val="23"/>
        </w:rPr>
        <w:t> ».</w:t>
      </w:r>
    </w:p>
    <w:p w:rsidR="00F645EA" w:rsidRPr="00F540B5" w:rsidRDefault="00F645EA" w:rsidP="00F540B5">
      <w:pPr>
        <w:pStyle w:val="Paragraphedeliste1"/>
        <w:numPr>
          <w:ilvl w:val="0"/>
          <w:numId w:val="0"/>
        </w:numPr>
        <w:spacing w:line="276" w:lineRule="auto"/>
        <w:ind w:left="720"/>
        <w:rPr>
          <w:sz w:val="23"/>
          <w:szCs w:val="23"/>
        </w:rPr>
      </w:pPr>
    </w:p>
    <w:p w:rsidR="00F645EA" w:rsidRPr="00F540B5" w:rsidRDefault="00F645EA" w:rsidP="00F540B5">
      <w:pPr>
        <w:pStyle w:val="Paragraphedeliste1"/>
        <w:numPr>
          <w:ilvl w:val="0"/>
          <w:numId w:val="0"/>
        </w:numPr>
        <w:spacing w:line="276" w:lineRule="auto"/>
        <w:ind w:left="720"/>
        <w:rPr>
          <w:sz w:val="23"/>
          <w:szCs w:val="23"/>
        </w:rPr>
      </w:pPr>
    </w:p>
    <w:p w:rsidR="00205AB9" w:rsidRPr="00F540B5" w:rsidRDefault="00205AB9" w:rsidP="00F540B5">
      <w:pPr>
        <w:pStyle w:val="Paragraphedeliste1"/>
        <w:spacing w:line="276" w:lineRule="auto"/>
        <w:rPr>
          <w:sz w:val="23"/>
          <w:szCs w:val="23"/>
        </w:rPr>
      </w:pPr>
      <w:r w:rsidRPr="00F540B5">
        <w:rPr>
          <w:sz w:val="23"/>
          <w:szCs w:val="23"/>
        </w:rPr>
        <w:t>Il est de</w:t>
      </w:r>
      <w:r w:rsidR="00F645EA" w:rsidRPr="00F540B5">
        <w:rPr>
          <w:sz w:val="23"/>
          <w:szCs w:val="23"/>
        </w:rPr>
        <w:t xml:space="preserve"> jurisprudence</w:t>
      </w:r>
      <w:r w:rsidRPr="00F540B5">
        <w:rPr>
          <w:sz w:val="23"/>
          <w:szCs w:val="23"/>
        </w:rPr>
        <w:t xml:space="preserve"> constante que</w:t>
      </w:r>
      <w:r w:rsidR="00F645EA" w:rsidRPr="00F540B5">
        <w:rPr>
          <w:sz w:val="23"/>
          <w:szCs w:val="23"/>
        </w:rPr>
        <w:t xml:space="preserve"> si aucun élément de la procédure n’établit une circonstance insurmontable justifiant la décision de différer la notification de ses droits à l’intéressé, la garde à vue doit être annulée ainsi que la procédure subséquente</w:t>
      </w:r>
      <w:r w:rsidRPr="00F540B5">
        <w:rPr>
          <w:sz w:val="23"/>
          <w:szCs w:val="23"/>
        </w:rPr>
        <w:t>.</w:t>
      </w:r>
    </w:p>
    <w:p w:rsidR="00205AB9" w:rsidRPr="00F540B5" w:rsidRDefault="00205AB9" w:rsidP="00F540B5">
      <w:pPr>
        <w:pStyle w:val="Paragraphedeliste1"/>
        <w:numPr>
          <w:ilvl w:val="0"/>
          <w:numId w:val="0"/>
        </w:numPr>
        <w:spacing w:line="276" w:lineRule="auto"/>
        <w:ind w:left="720" w:hanging="360"/>
        <w:rPr>
          <w:sz w:val="23"/>
          <w:szCs w:val="23"/>
        </w:rPr>
      </w:pPr>
    </w:p>
    <w:p w:rsidR="00205AB9" w:rsidRPr="00F540B5" w:rsidRDefault="00205AB9" w:rsidP="00F540B5">
      <w:pPr>
        <w:pStyle w:val="Paragraphedeliste1"/>
        <w:numPr>
          <w:ilvl w:val="0"/>
          <w:numId w:val="0"/>
        </w:numPr>
        <w:spacing w:line="276" w:lineRule="auto"/>
        <w:ind w:left="720"/>
        <w:rPr>
          <w:sz w:val="23"/>
          <w:szCs w:val="23"/>
        </w:rPr>
      </w:pPr>
      <w:r w:rsidRPr="00F540B5">
        <w:rPr>
          <w:sz w:val="23"/>
          <w:szCs w:val="23"/>
        </w:rPr>
        <w:t>La Chambre criminelle a ainsi pu juger que</w:t>
      </w:r>
      <w:r w:rsidR="00830A28" w:rsidRPr="00F540B5">
        <w:rPr>
          <w:sz w:val="23"/>
          <w:szCs w:val="23"/>
        </w:rPr>
        <w:t xml:space="preserve"> : </w:t>
      </w:r>
    </w:p>
    <w:p w:rsidR="00205AB9" w:rsidRPr="00F540B5" w:rsidRDefault="00830A28" w:rsidP="00F540B5">
      <w:pPr>
        <w:pStyle w:val="Paragraphedeliste"/>
        <w:spacing w:line="276" w:lineRule="auto"/>
        <w:ind w:left="1416"/>
        <w:rPr>
          <w:rFonts w:ascii="Garamond" w:hAnsi="Garamond"/>
          <w:sz w:val="23"/>
          <w:szCs w:val="23"/>
        </w:rPr>
      </w:pPr>
      <w:r w:rsidRPr="00F540B5">
        <w:rPr>
          <w:rFonts w:ascii="Garamond" w:hAnsi="Garamond"/>
          <w:sz w:val="23"/>
          <w:szCs w:val="23"/>
        </w:rPr>
        <w:t>« </w:t>
      </w:r>
      <w:r w:rsidRPr="00F540B5">
        <w:rPr>
          <w:rFonts w:ascii="Garamond" w:hAnsi="Garamond"/>
          <w:i/>
          <w:sz w:val="23"/>
          <w:szCs w:val="23"/>
        </w:rPr>
        <w:t xml:space="preserve">l’officier de police judiciaire ou, sous son contrôle, l'agent de police judiciaire, a le devoir de notifier immédiatement les droits attachés au placement en garde à vue ; (…) </w:t>
      </w:r>
      <w:r w:rsidRPr="00F540B5">
        <w:rPr>
          <w:rFonts w:ascii="Garamond" w:hAnsi="Garamond"/>
          <w:b/>
          <w:i/>
          <w:sz w:val="23"/>
          <w:szCs w:val="23"/>
        </w:rPr>
        <w:t xml:space="preserve">tout retard dans la mise en œuvre de cette obligation, </w:t>
      </w:r>
      <w:r w:rsidRPr="00F540B5">
        <w:rPr>
          <w:rFonts w:ascii="Garamond" w:hAnsi="Garamond"/>
          <w:b/>
          <w:i/>
          <w:sz w:val="23"/>
          <w:szCs w:val="23"/>
          <w:u w:val="single"/>
        </w:rPr>
        <w:t>non justifié par une circonstance insurmontable</w:t>
      </w:r>
      <w:r w:rsidRPr="00F540B5">
        <w:rPr>
          <w:rFonts w:ascii="Garamond" w:hAnsi="Garamond"/>
          <w:b/>
          <w:i/>
          <w:sz w:val="23"/>
          <w:szCs w:val="23"/>
        </w:rPr>
        <w:t xml:space="preserve">, </w:t>
      </w:r>
      <w:r w:rsidRPr="00F540B5">
        <w:rPr>
          <w:rFonts w:ascii="Garamond" w:hAnsi="Garamond"/>
          <w:b/>
          <w:i/>
          <w:sz w:val="23"/>
          <w:szCs w:val="23"/>
          <w:u w:val="single"/>
        </w:rPr>
        <w:t>porte nécessairement atteinte</w:t>
      </w:r>
      <w:r w:rsidRPr="00F540B5">
        <w:rPr>
          <w:rFonts w:ascii="Garamond" w:hAnsi="Garamond"/>
          <w:b/>
          <w:i/>
          <w:sz w:val="23"/>
          <w:szCs w:val="23"/>
        </w:rPr>
        <w:t xml:space="preserve"> aux intérêts de la personne concernée</w:t>
      </w:r>
      <w:r w:rsidRPr="00F540B5">
        <w:rPr>
          <w:rFonts w:ascii="Garamond" w:hAnsi="Garamond"/>
          <w:sz w:val="23"/>
          <w:szCs w:val="23"/>
        </w:rPr>
        <w:t> »</w:t>
      </w:r>
      <w:r w:rsidRPr="00F540B5">
        <w:rPr>
          <w:rStyle w:val="Appelnotedebasdep"/>
          <w:rFonts w:ascii="Garamond" w:hAnsi="Garamond"/>
          <w:sz w:val="23"/>
          <w:szCs w:val="23"/>
        </w:rPr>
        <w:footnoteReference w:id="1"/>
      </w:r>
    </w:p>
    <w:p w:rsidR="00F645EA" w:rsidRPr="00F540B5" w:rsidRDefault="00F645EA" w:rsidP="00F540B5">
      <w:pPr>
        <w:pStyle w:val="Paragraphedeliste1"/>
        <w:numPr>
          <w:ilvl w:val="0"/>
          <w:numId w:val="0"/>
        </w:numPr>
        <w:spacing w:line="276" w:lineRule="auto"/>
        <w:ind w:left="720"/>
        <w:rPr>
          <w:sz w:val="23"/>
          <w:szCs w:val="23"/>
        </w:rPr>
      </w:pPr>
      <w:r w:rsidRPr="00F540B5">
        <w:rPr>
          <w:sz w:val="23"/>
          <w:szCs w:val="23"/>
        </w:rPr>
        <w:t>Ainsi a</w:t>
      </w:r>
      <w:r w:rsidR="00A81244" w:rsidRPr="00F540B5">
        <w:rPr>
          <w:sz w:val="23"/>
          <w:szCs w:val="23"/>
        </w:rPr>
        <w:t>-t-il</w:t>
      </w:r>
      <w:r w:rsidRPr="00F540B5">
        <w:rPr>
          <w:sz w:val="23"/>
          <w:szCs w:val="23"/>
        </w:rPr>
        <w:t xml:space="preserve"> été jugé qu’un délai </w:t>
      </w:r>
      <w:r w:rsidR="00A81244" w:rsidRPr="00F540B5">
        <w:rPr>
          <w:sz w:val="23"/>
          <w:szCs w:val="23"/>
        </w:rPr>
        <w:t xml:space="preserve">de </w:t>
      </w:r>
      <w:r w:rsidR="00A81244" w:rsidRPr="00F540B5">
        <w:rPr>
          <w:b/>
          <w:sz w:val="23"/>
          <w:szCs w:val="23"/>
        </w:rPr>
        <w:t>30 minutes</w:t>
      </w:r>
      <w:r w:rsidRPr="00F540B5">
        <w:rPr>
          <w:sz w:val="23"/>
          <w:szCs w:val="23"/>
        </w:rPr>
        <w:t xml:space="preserve"> entre le placement en garde à vue et la notification des droits est excessif, justifiant l’annulation de la garde à vue et de la procédure subséquente</w:t>
      </w:r>
      <w:r w:rsidR="00BA2E46" w:rsidRPr="00F540B5">
        <w:rPr>
          <w:rStyle w:val="Appelnotedebasdep"/>
          <w:sz w:val="23"/>
          <w:szCs w:val="23"/>
        </w:rPr>
        <w:footnoteReference w:id="2"/>
      </w:r>
      <w:r w:rsidRPr="00F540B5">
        <w:rPr>
          <w:sz w:val="23"/>
          <w:szCs w:val="23"/>
        </w:rPr>
        <w:t xml:space="preserve">. </w:t>
      </w:r>
    </w:p>
    <w:p w:rsidR="00F645EA" w:rsidRPr="00F540B5" w:rsidRDefault="00F645EA" w:rsidP="00F540B5">
      <w:pPr>
        <w:pStyle w:val="Paragraphedeliste1"/>
        <w:numPr>
          <w:ilvl w:val="0"/>
          <w:numId w:val="0"/>
        </w:numPr>
        <w:spacing w:line="276" w:lineRule="auto"/>
        <w:ind w:left="720"/>
        <w:rPr>
          <w:sz w:val="23"/>
          <w:szCs w:val="23"/>
        </w:rPr>
      </w:pPr>
    </w:p>
    <w:p w:rsidR="00F645EA" w:rsidRPr="00F540B5" w:rsidRDefault="00F645EA" w:rsidP="00F540B5">
      <w:pPr>
        <w:pStyle w:val="Paragraphedeliste1"/>
        <w:spacing w:line="276" w:lineRule="auto"/>
        <w:rPr>
          <w:sz w:val="23"/>
          <w:szCs w:val="23"/>
        </w:rPr>
      </w:pPr>
      <w:r w:rsidRPr="00F540B5">
        <w:rPr>
          <w:sz w:val="23"/>
          <w:szCs w:val="23"/>
        </w:rPr>
        <w:t xml:space="preserve">En l’espèce, </w:t>
      </w:r>
    </w:p>
    <w:p w:rsidR="008E4D5D" w:rsidRPr="00F540B5" w:rsidRDefault="008E4D5D" w:rsidP="00F540B5">
      <w:pPr>
        <w:pStyle w:val="Paragraphedeliste1"/>
        <w:numPr>
          <w:ilvl w:val="0"/>
          <w:numId w:val="0"/>
        </w:numPr>
        <w:spacing w:line="276" w:lineRule="auto"/>
        <w:ind w:left="720"/>
        <w:rPr>
          <w:sz w:val="23"/>
          <w:szCs w:val="23"/>
        </w:rPr>
      </w:pPr>
    </w:p>
    <w:p w:rsidR="008E4D5D" w:rsidRPr="00F540B5" w:rsidRDefault="008E4D5D" w:rsidP="00F540B5">
      <w:pPr>
        <w:pStyle w:val="Paragraphedeliste1"/>
        <w:numPr>
          <w:ilvl w:val="0"/>
          <w:numId w:val="0"/>
        </w:numPr>
        <w:spacing w:line="276" w:lineRule="auto"/>
        <w:ind w:left="720"/>
        <w:rPr>
          <w:sz w:val="23"/>
          <w:szCs w:val="23"/>
        </w:rPr>
      </w:pPr>
    </w:p>
    <w:p w:rsidR="00F645EA" w:rsidRPr="00F540B5" w:rsidRDefault="00F645EA" w:rsidP="00F540B5">
      <w:pPr>
        <w:pStyle w:val="Paragraphedeliste1"/>
        <w:numPr>
          <w:ilvl w:val="0"/>
          <w:numId w:val="0"/>
        </w:numPr>
        <w:spacing w:line="276" w:lineRule="auto"/>
        <w:ind w:left="720"/>
        <w:rPr>
          <w:sz w:val="23"/>
          <w:szCs w:val="23"/>
        </w:rPr>
      </w:pPr>
    </w:p>
    <w:p w:rsidR="00F645EA" w:rsidRPr="00F540B5" w:rsidRDefault="00F645EA" w:rsidP="00F540B5">
      <w:pPr>
        <w:pStyle w:val="Paragraphedeliste1"/>
        <w:numPr>
          <w:ilvl w:val="0"/>
          <w:numId w:val="0"/>
        </w:numPr>
        <w:spacing w:line="276" w:lineRule="auto"/>
        <w:ind w:left="720"/>
        <w:rPr>
          <w:sz w:val="23"/>
          <w:szCs w:val="23"/>
        </w:rPr>
      </w:pPr>
      <w:r w:rsidRPr="00F540B5">
        <w:rPr>
          <w:sz w:val="23"/>
          <w:szCs w:val="23"/>
        </w:rPr>
        <w:t>De plus, aucun élément de la procédure n’établit une circonstance insurmontable justifiant ces délais</w:t>
      </w:r>
      <w:r w:rsidR="00A81244" w:rsidRPr="00F540B5">
        <w:rPr>
          <w:sz w:val="23"/>
          <w:szCs w:val="23"/>
        </w:rPr>
        <w:t xml:space="preserve">, </w:t>
      </w:r>
    </w:p>
    <w:p w:rsidR="00A774D8" w:rsidRPr="00F540B5" w:rsidRDefault="00A774D8" w:rsidP="00F540B5">
      <w:pPr>
        <w:pStyle w:val="Paragraphedeliste1"/>
        <w:numPr>
          <w:ilvl w:val="0"/>
          <w:numId w:val="0"/>
        </w:numPr>
        <w:spacing w:line="276" w:lineRule="auto"/>
        <w:ind w:left="720"/>
        <w:rPr>
          <w:sz w:val="23"/>
          <w:szCs w:val="23"/>
        </w:rPr>
      </w:pPr>
    </w:p>
    <w:p w:rsidR="00F645EA" w:rsidRPr="00F540B5" w:rsidRDefault="00F645EA" w:rsidP="00F540B5">
      <w:pPr>
        <w:pStyle w:val="Paragraphedeliste1"/>
        <w:numPr>
          <w:ilvl w:val="0"/>
          <w:numId w:val="0"/>
        </w:numPr>
        <w:spacing w:line="276" w:lineRule="auto"/>
        <w:ind w:left="720"/>
        <w:rPr>
          <w:sz w:val="23"/>
          <w:szCs w:val="23"/>
        </w:rPr>
      </w:pPr>
    </w:p>
    <w:p w:rsidR="00F645EA" w:rsidRPr="00F540B5" w:rsidRDefault="00F645EA" w:rsidP="00F540B5">
      <w:pPr>
        <w:pStyle w:val="Paragraphedeliste1"/>
        <w:numPr>
          <w:ilvl w:val="0"/>
          <w:numId w:val="0"/>
        </w:numPr>
        <w:spacing w:line="276" w:lineRule="auto"/>
        <w:ind w:left="720"/>
        <w:rPr>
          <w:sz w:val="23"/>
          <w:szCs w:val="23"/>
        </w:rPr>
      </w:pPr>
      <w:r w:rsidRPr="00F540B5">
        <w:rPr>
          <w:sz w:val="23"/>
          <w:szCs w:val="23"/>
        </w:rPr>
        <w:t xml:space="preserve">Ce délai </w:t>
      </w:r>
      <w:r w:rsidR="00A774D8" w:rsidRPr="00F540B5">
        <w:rPr>
          <w:sz w:val="23"/>
          <w:szCs w:val="23"/>
        </w:rPr>
        <w:t xml:space="preserve">est incontestablement excessif et constitue une </w:t>
      </w:r>
      <w:r w:rsidRPr="00F540B5">
        <w:rPr>
          <w:sz w:val="23"/>
          <w:szCs w:val="23"/>
        </w:rPr>
        <w:t xml:space="preserve">violation de l’article 63-1 du </w:t>
      </w:r>
      <w:r w:rsidR="00A774D8" w:rsidRPr="00F540B5">
        <w:rPr>
          <w:sz w:val="23"/>
          <w:szCs w:val="23"/>
        </w:rPr>
        <w:t>CPP</w:t>
      </w:r>
      <w:r w:rsidRPr="00F540B5">
        <w:rPr>
          <w:sz w:val="23"/>
          <w:szCs w:val="23"/>
        </w:rPr>
        <w:t xml:space="preserve"> </w:t>
      </w:r>
      <w:r w:rsidR="00A774D8" w:rsidRPr="00F540B5">
        <w:rPr>
          <w:sz w:val="23"/>
          <w:szCs w:val="23"/>
        </w:rPr>
        <w:t>tel qu’il est appliqué par la jurisprudence</w:t>
      </w:r>
      <w:r w:rsidRPr="00F540B5">
        <w:rPr>
          <w:sz w:val="23"/>
          <w:szCs w:val="23"/>
        </w:rPr>
        <w:t>.</w:t>
      </w:r>
    </w:p>
    <w:p w:rsidR="00F645EA" w:rsidRPr="00F540B5" w:rsidRDefault="00F645EA" w:rsidP="00F540B5">
      <w:pPr>
        <w:pStyle w:val="Paragraphedeliste1"/>
        <w:numPr>
          <w:ilvl w:val="0"/>
          <w:numId w:val="0"/>
        </w:numPr>
        <w:spacing w:line="276" w:lineRule="auto"/>
        <w:ind w:left="720"/>
        <w:rPr>
          <w:sz w:val="23"/>
          <w:szCs w:val="23"/>
        </w:rPr>
      </w:pPr>
    </w:p>
    <w:p w:rsidR="00F645EA" w:rsidRPr="00F540B5" w:rsidRDefault="00F645EA" w:rsidP="00F540B5">
      <w:pPr>
        <w:pStyle w:val="Paragraphedeliste1"/>
        <w:numPr>
          <w:ilvl w:val="0"/>
          <w:numId w:val="0"/>
        </w:numPr>
        <w:spacing w:line="276" w:lineRule="auto"/>
        <w:ind w:left="720"/>
        <w:rPr>
          <w:sz w:val="23"/>
          <w:szCs w:val="23"/>
        </w:rPr>
      </w:pPr>
      <w:r w:rsidRPr="00F540B5">
        <w:rPr>
          <w:sz w:val="23"/>
          <w:szCs w:val="23"/>
        </w:rPr>
        <w:t xml:space="preserve">Dès lors, il justifie l’annulation de la garde à vue </w:t>
      </w:r>
      <w:r w:rsidR="00CD0550" w:rsidRPr="00F540B5">
        <w:rPr>
          <w:sz w:val="23"/>
          <w:szCs w:val="23"/>
        </w:rPr>
        <w:t xml:space="preserve">de </w:t>
      </w:r>
      <w:r w:rsidR="00A774D8" w:rsidRPr="00F540B5">
        <w:rPr>
          <w:sz w:val="23"/>
          <w:szCs w:val="23"/>
        </w:rPr>
        <w:t xml:space="preserve">                                         </w:t>
      </w:r>
      <w:r w:rsidR="00CD0550" w:rsidRPr="00F540B5">
        <w:rPr>
          <w:sz w:val="23"/>
          <w:szCs w:val="23"/>
        </w:rPr>
        <w:t xml:space="preserve"> </w:t>
      </w:r>
      <w:r w:rsidRPr="00F540B5">
        <w:rPr>
          <w:sz w:val="23"/>
          <w:szCs w:val="23"/>
        </w:rPr>
        <w:t>et de</w:t>
      </w:r>
      <w:r w:rsidR="00A81244" w:rsidRPr="00F540B5">
        <w:rPr>
          <w:sz w:val="23"/>
          <w:szCs w:val="23"/>
        </w:rPr>
        <w:t>s actes accomplis au cours de celle-ci</w:t>
      </w:r>
      <w:r w:rsidRPr="00F540B5">
        <w:rPr>
          <w:sz w:val="23"/>
          <w:szCs w:val="23"/>
        </w:rPr>
        <w:t>.</w:t>
      </w:r>
    </w:p>
    <w:p w:rsidR="00182413" w:rsidRPr="00F540B5" w:rsidRDefault="00182413" w:rsidP="00F540B5">
      <w:pPr>
        <w:pStyle w:val="Paragraphedeliste1"/>
        <w:numPr>
          <w:ilvl w:val="0"/>
          <w:numId w:val="0"/>
        </w:numPr>
        <w:spacing w:line="276" w:lineRule="auto"/>
        <w:ind w:left="720"/>
        <w:rPr>
          <w:sz w:val="23"/>
          <w:szCs w:val="23"/>
        </w:rPr>
      </w:pPr>
    </w:p>
    <w:p w:rsidR="00182413" w:rsidRPr="00F540B5" w:rsidRDefault="00182413" w:rsidP="00F540B5">
      <w:pPr>
        <w:pStyle w:val="Paragraphenormal"/>
        <w:numPr>
          <w:ilvl w:val="1"/>
          <w:numId w:val="7"/>
        </w:numPr>
        <w:spacing w:line="276" w:lineRule="auto"/>
        <w:rPr>
          <w:b/>
          <w:sz w:val="23"/>
          <w:szCs w:val="23"/>
        </w:rPr>
      </w:pPr>
      <w:r w:rsidRPr="00F540B5">
        <w:rPr>
          <w:b/>
          <w:sz w:val="23"/>
          <w:szCs w:val="23"/>
        </w:rPr>
        <w:t>Sur le délai de l’avis à Magistrat</w:t>
      </w:r>
    </w:p>
    <w:p w:rsidR="00653FB6" w:rsidRPr="00F540B5" w:rsidRDefault="00653FB6" w:rsidP="00F540B5">
      <w:pPr>
        <w:pStyle w:val="Paragraphedeliste1"/>
        <w:spacing w:line="276" w:lineRule="auto"/>
        <w:rPr>
          <w:sz w:val="23"/>
          <w:szCs w:val="23"/>
        </w:rPr>
      </w:pPr>
      <w:r w:rsidRPr="00F540B5">
        <w:rPr>
          <w:sz w:val="23"/>
          <w:szCs w:val="23"/>
        </w:rPr>
        <w:t>L’article 63, alinéa 2, du Code de procédure pénale</w:t>
      </w:r>
      <w:r w:rsidR="00C55882" w:rsidRPr="00F540B5">
        <w:rPr>
          <w:sz w:val="23"/>
          <w:szCs w:val="23"/>
        </w:rPr>
        <w:t xml:space="preserve"> (« </w:t>
      </w:r>
      <w:r w:rsidR="00C55882" w:rsidRPr="00F540B5">
        <w:rPr>
          <w:b/>
          <w:sz w:val="23"/>
          <w:szCs w:val="23"/>
        </w:rPr>
        <w:t>CPP</w:t>
      </w:r>
      <w:r w:rsidR="00C55882" w:rsidRPr="00F540B5">
        <w:rPr>
          <w:sz w:val="23"/>
          <w:szCs w:val="23"/>
        </w:rPr>
        <w:t> »)</w:t>
      </w:r>
      <w:r w:rsidRPr="00F540B5">
        <w:rPr>
          <w:sz w:val="23"/>
          <w:szCs w:val="23"/>
        </w:rPr>
        <w:t xml:space="preserve"> prévoit que :</w:t>
      </w:r>
    </w:p>
    <w:p w:rsidR="00653FB6" w:rsidRPr="00F540B5" w:rsidRDefault="00653FB6" w:rsidP="00F540B5">
      <w:pPr>
        <w:pStyle w:val="Paragraphedeliste1"/>
        <w:numPr>
          <w:ilvl w:val="0"/>
          <w:numId w:val="0"/>
        </w:numPr>
        <w:spacing w:line="276" w:lineRule="auto"/>
        <w:ind w:left="720"/>
        <w:rPr>
          <w:sz w:val="23"/>
          <w:szCs w:val="23"/>
        </w:rPr>
      </w:pPr>
    </w:p>
    <w:p w:rsidR="00653FB6" w:rsidRPr="00F540B5" w:rsidRDefault="00653FB6" w:rsidP="00F540B5">
      <w:pPr>
        <w:pStyle w:val="Paragraphedeliste1"/>
        <w:numPr>
          <w:ilvl w:val="0"/>
          <w:numId w:val="0"/>
        </w:numPr>
        <w:spacing w:line="276" w:lineRule="auto"/>
        <w:ind w:left="1416"/>
        <w:rPr>
          <w:sz w:val="23"/>
          <w:szCs w:val="23"/>
        </w:rPr>
      </w:pPr>
      <w:r w:rsidRPr="00F540B5">
        <w:rPr>
          <w:sz w:val="23"/>
          <w:szCs w:val="23"/>
        </w:rPr>
        <w:t>« </w:t>
      </w:r>
      <w:r w:rsidRPr="00F540B5">
        <w:rPr>
          <w:i/>
          <w:sz w:val="23"/>
          <w:szCs w:val="23"/>
        </w:rPr>
        <w:t xml:space="preserve">Dès le début de  la  mesure,  l'officier  de  police  judiciaire  informe  le  procureur  de  la  République,  </w:t>
      </w:r>
      <w:r w:rsidRPr="00F540B5">
        <w:rPr>
          <w:b/>
          <w:i/>
          <w:sz w:val="23"/>
          <w:szCs w:val="23"/>
        </w:rPr>
        <w:t>par  tout  moyen</w:t>
      </w:r>
      <w:r w:rsidRPr="00F540B5">
        <w:rPr>
          <w:i/>
          <w:sz w:val="23"/>
          <w:szCs w:val="23"/>
        </w:rPr>
        <w:t>,  du  placement  de  la  personne  en  garde  à  vue.  Il lui  donne  connaissance  des  motifs  justifiant,  en  application  de  l’article  62-2,  ce  placement  et  l'avise  de  la  qualification  des  faits  qu'il  a  notifiée  à  la  personne  en  application  du  2°  de  l’article  63-1</w:t>
      </w:r>
      <w:r w:rsidRPr="00F540B5">
        <w:rPr>
          <w:sz w:val="23"/>
          <w:szCs w:val="23"/>
        </w:rPr>
        <w:t>.  »</w:t>
      </w:r>
    </w:p>
    <w:p w:rsidR="00653FB6" w:rsidRPr="00F540B5" w:rsidRDefault="00653FB6" w:rsidP="00F540B5">
      <w:pPr>
        <w:pStyle w:val="Paragraphedeliste1"/>
        <w:numPr>
          <w:ilvl w:val="0"/>
          <w:numId w:val="0"/>
        </w:numPr>
        <w:spacing w:line="276" w:lineRule="auto"/>
        <w:ind w:left="720"/>
        <w:rPr>
          <w:sz w:val="23"/>
          <w:szCs w:val="23"/>
        </w:rPr>
      </w:pPr>
    </w:p>
    <w:p w:rsidR="00AA70AB" w:rsidRPr="00F540B5" w:rsidRDefault="00653FB6" w:rsidP="00F540B5">
      <w:pPr>
        <w:pStyle w:val="Paragraphenormal"/>
        <w:spacing w:line="276" w:lineRule="auto"/>
        <w:rPr>
          <w:sz w:val="23"/>
          <w:szCs w:val="23"/>
        </w:rPr>
      </w:pPr>
      <w:r w:rsidRPr="00F540B5">
        <w:rPr>
          <w:sz w:val="23"/>
          <w:szCs w:val="23"/>
        </w:rPr>
        <w:lastRenderedPageBreak/>
        <w:t xml:space="preserve">Faisant une stricte application de ces dispositions, la Chambre de criminelle de la Cour de cassation a </w:t>
      </w:r>
      <w:r w:rsidR="00C55882" w:rsidRPr="00F540B5">
        <w:rPr>
          <w:sz w:val="23"/>
          <w:szCs w:val="23"/>
        </w:rPr>
        <w:t>jugé</w:t>
      </w:r>
      <w:r w:rsidRPr="00F540B5">
        <w:rPr>
          <w:sz w:val="23"/>
          <w:szCs w:val="23"/>
        </w:rPr>
        <w:t xml:space="preserve">, </w:t>
      </w:r>
      <w:r w:rsidR="00C55882" w:rsidRPr="00F540B5">
        <w:rPr>
          <w:sz w:val="23"/>
          <w:szCs w:val="23"/>
        </w:rPr>
        <w:t xml:space="preserve">par arrêt du 24 mai 2016, qu’un </w:t>
      </w:r>
      <w:r w:rsidR="00C55882" w:rsidRPr="00F540B5">
        <w:rPr>
          <w:b/>
          <w:sz w:val="23"/>
          <w:szCs w:val="23"/>
        </w:rPr>
        <w:t>délai de quarante-cinq minutes entre le placement en garde à vue et l’avis à magistrat était nécessairement tardif</w:t>
      </w:r>
      <w:r w:rsidR="00C55882" w:rsidRPr="00F540B5">
        <w:rPr>
          <w:sz w:val="23"/>
          <w:szCs w:val="23"/>
        </w:rPr>
        <w:t xml:space="preserve"> en sorte qu’il constituait une violation de l’article 62 du CPP :</w:t>
      </w:r>
    </w:p>
    <w:p w:rsidR="00C55882" w:rsidRPr="00F540B5" w:rsidRDefault="00C55882" w:rsidP="00F540B5">
      <w:pPr>
        <w:pStyle w:val="Paragraphenormal"/>
        <w:spacing w:line="276" w:lineRule="auto"/>
        <w:rPr>
          <w:sz w:val="23"/>
          <w:szCs w:val="23"/>
        </w:rPr>
      </w:pPr>
    </w:p>
    <w:p w:rsidR="00C55882" w:rsidRPr="00F540B5" w:rsidRDefault="00C55882" w:rsidP="00F540B5">
      <w:pPr>
        <w:spacing w:line="276" w:lineRule="auto"/>
        <w:ind w:left="1416"/>
        <w:jc w:val="both"/>
        <w:rPr>
          <w:rFonts w:ascii="Garamond" w:hAnsi="Garamond"/>
          <w:sz w:val="23"/>
          <w:szCs w:val="23"/>
        </w:rPr>
      </w:pPr>
      <w:r w:rsidRPr="00F540B5">
        <w:rPr>
          <w:rFonts w:ascii="Garamond" w:hAnsi="Garamond"/>
          <w:sz w:val="23"/>
          <w:szCs w:val="23"/>
        </w:rPr>
        <w:t xml:space="preserve"> « (…) </w:t>
      </w:r>
      <w:r w:rsidRPr="00F540B5">
        <w:rPr>
          <w:rFonts w:ascii="Garamond" w:hAnsi="Garamond"/>
          <w:i/>
          <w:sz w:val="23"/>
          <w:szCs w:val="23"/>
        </w:rPr>
        <w:t xml:space="preserve">l'officier de police judiciaire, qui, pour les nécessités de l'enquête, place une personne en garde à vue, doit en aviser le procureur de la République dès le début de cette mesure </w:t>
      </w:r>
      <w:r w:rsidRPr="00F540B5">
        <w:rPr>
          <w:rFonts w:ascii="Garamond" w:hAnsi="Garamond"/>
          <w:sz w:val="23"/>
          <w:szCs w:val="23"/>
        </w:rPr>
        <w:t>(…)</w:t>
      </w:r>
      <w:r w:rsidRPr="00F540B5">
        <w:rPr>
          <w:rFonts w:ascii="Garamond" w:hAnsi="Garamond"/>
          <w:i/>
          <w:sz w:val="23"/>
          <w:szCs w:val="23"/>
        </w:rPr>
        <w:t>. Tout retard dans la mise en œuvre de</w:t>
      </w:r>
      <w:r w:rsidRPr="00F540B5">
        <w:rPr>
          <w:rFonts w:ascii="Garamond" w:hAnsi="Garamond"/>
          <w:sz w:val="23"/>
          <w:szCs w:val="23"/>
        </w:rPr>
        <w:t xml:space="preserve"> [cette obligation], </w:t>
      </w:r>
      <w:r w:rsidRPr="00F540B5">
        <w:rPr>
          <w:rFonts w:ascii="Garamond" w:hAnsi="Garamond"/>
          <w:i/>
          <w:sz w:val="23"/>
          <w:szCs w:val="23"/>
        </w:rPr>
        <w:t>non justifié par des circonstances insurmontables, faisant nécessairement grief aux intérêts de ladite personne</w:t>
      </w:r>
      <w:r w:rsidRPr="00F540B5">
        <w:rPr>
          <w:rFonts w:ascii="Garamond" w:hAnsi="Garamond"/>
          <w:sz w:val="23"/>
          <w:szCs w:val="23"/>
        </w:rPr>
        <w:t>.</w:t>
      </w:r>
    </w:p>
    <w:p w:rsidR="00C55882" w:rsidRPr="00F540B5" w:rsidRDefault="00C55882" w:rsidP="00F540B5">
      <w:pPr>
        <w:spacing w:line="276" w:lineRule="auto"/>
        <w:ind w:left="1416"/>
        <w:jc w:val="both"/>
        <w:rPr>
          <w:rFonts w:ascii="Garamond" w:hAnsi="Garamond"/>
          <w:i/>
          <w:sz w:val="23"/>
          <w:szCs w:val="23"/>
        </w:rPr>
      </w:pPr>
      <w:r w:rsidRPr="00F540B5">
        <w:rPr>
          <w:rFonts w:ascii="Garamond" w:hAnsi="Garamond"/>
          <w:i/>
          <w:sz w:val="23"/>
          <w:szCs w:val="23"/>
        </w:rPr>
        <w:t xml:space="preserve">Attendu qu'il ressort des énonciations de l'arrêt et des pièces de la procédure que M. X... a été interpellé à son domicile et immédiatement placé en garde à vue le 17 novembre 2015, à 10 heures 30, puis que, jusqu'à 10 heures 50, une perquisition a été effectuée en ce lieu, qui a permis de saisir l'ordinateur du mis en cause ; que, de retour au service, l'officier de police judiciaire a, de 11 heures à 11 heures 05, procédé à la notification de ses droits à la personne gardée à vue, puis donné au procureur de la République, à 11 heures 15, l'avis légalement exigé </w:t>
      </w:r>
    </w:p>
    <w:p w:rsidR="00C55882" w:rsidRPr="00F540B5" w:rsidRDefault="00C55882" w:rsidP="00F540B5">
      <w:pPr>
        <w:spacing w:line="276" w:lineRule="auto"/>
        <w:ind w:left="1416"/>
        <w:jc w:val="both"/>
        <w:rPr>
          <w:rFonts w:ascii="Garamond" w:hAnsi="Garamond"/>
          <w:i/>
          <w:sz w:val="23"/>
          <w:szCs w:val="23"/>
        </w:rPr>
      </w:pPr>
      <w:r w:rsidRPr="00F540B5">
        <w:rPr>
          <w:rFonts w:ascii="Garamond" w:hAnsi="Garamond"/>
          <w:i/>
          <w:sz w:val="23"/>
          <w:szCs w:val="23"/>
        </w:rPr>
        <w:t>Attendu que, pour refuser d'annuler la mesure de garde à vue et la procédure subséquente, l'arrêt prononce par les motifs reproduits au moyen ;</w:t>
      </w:r>
    </w:p>
    <w:p w:rsidR="00C55882" w:rsidRPr="00F540B5" w:rsidRDefault="00C55882" w:rsidP="00F540B5">
      <w:pPr>
        <w:spacing w:line="276" w:lineRule="auto"/>
        <w:ind w:left="1416"/>
        <w:jc w:val="both"/>
        <w:rPr>
          <w:rFonts w:ascii="Garamond" w:hAnsi="Garamond"/>
          <w:sz w:val="23"/>
          <w:szCs w:val="23"/>
        </w:rPr>
      </w:pPr>
      <w:r w:rsidRPr="00F540B5">
        <w:rPr>
          <w:rFonts w:ascii="Garamond" w:hAnsi="Garamond"/>
          <w:i/>
          <w:sz w:val="23"/>
          <w:szCs w:val="23"/>
        </w:rPr>
        <w:t>Mais attendu qu'en se déterminant ainsi, alors qu'</w:t>
      </w:r>
      <w:r w:rsidRPr="00F540B5">
        <w:rPr>
          <w:rFonts w:ascii="Garamond" w:hAnsi="Garamond"/>
          <w:b/>
          <w:i/>
          <w:sz w:val="23"/>
          <w:szCs w:val="23"/>
        </w:rPr>
        <w:t>aucun élément de la procédure n'établit une circonstance insurmontable justifiant la décision de différer tant la notification de ses droits à l'intéressé que l'information du procureur de la République, la cour d'appel a méconnu le sens et la portée des textes susvisés et des principes ci-dessus énoncés</w:t>
      </w:r>
      <w:r w:rsidRPr="00F540B5">
        <w:rPr>
          <w:rFonts w:ascii="Garamond" w:hAnsi="Garamond"/>
          <w:sz w:val="23"/>
          <w:szCs w:val="23"/>
        </w:rPr>
        <w:t> »</w:t>
      </w:r>
      <w:r w:rsidRPr="00F540B5">
        <w:rPr>
          <w:rStyle w:val="Appelnotedebasdep"/>
          <w:rFonts w:ascii="Garamond" w:hAnsi="Garamond"/>
          <w:sz w:val="23"/>
          <w:szCs w:val="23"/>
        </w:rPr>
        <w:footnoteReference w:id="3"/>
      </w:r>
      <w:r w:rsidRPr="00F540B5">
        <w:rPr>
          <w:rFonts w:ascii="Garamond" w:hAnsi="Garamond"/>
          <w:sz w:val="23"/>
          <w:szCs w:val="23"/>
        </w:rPr>
        <w:t>.</w:t>
      </w:r>
    </w:p>
    <w:p w:rsidR="00C55882" w:rsidRPr="00F540B5" w:rsidRDefault="00C55882" w:rsidP="00F540B5">
      <w:pPr>
        <w:pStyle w:val="Paragraphedeliste1"/>
        <w:spacing w:line="276" w:lineRule="auto"/>
        <w:rPr>
          <w:i/>
          <w:sz w:val="23"/>
          <w:szCs w:val="23"/>
        </w:rPr>
      </w:pPr>
      <w:r w:rsidRPr="00F540B5">
        <w:rPr>
          <w:sz w:val="23"/>
          <w:szCs w:val="23"/>
        </w:rPr>
        <w:t xml:space="preserve">Par arrêt du 27 juin 2017, la Chambre criminelle a de nouveau fait application de cette solution en </w:t>
      </w:r>
      <w:r w:rsidR="00972C50" w:rsidRPr="00F540B5">
        <w:rPr>
          <w:sz w:val="23"/>
          <w:szCs w:val="23"/>
        </w:rPr>
        <w:t>statuant comme suit :</w:t>
      </w:r>
    </w:p>
    <w:p w:rsidR="00972C50" w:rsidRPr="00F540B5" w:rsidRDefault="00972C50" w:rsidP="00F540B5">
      <w:pPr>
        <w:pStyle w:val="Paragraphedeliste1"/>
        <w:numPr>
          <w:ilvl w:val="0"/>
          <w:numId w:val="0"/>
        </w:numPr>
        <w:spacing w:line="276" w:lineRule="auto"/>
        <w:ind w:left="720" w:hanging="360"/>
        <w:rPr>
          <w:sz w:val="23"/>
          <w:szCs w:val="23"/>
        </w:rPr>
      </w:pPr>
    </w:p>
    <w:p w:rsidR="00972C50" w:rsidRPr="00F540B5" w:rsidRDefault="00972C50" w:rsidP="00F540B5">
      <w:pPr>
        <w:pStyle w:val="Paragraphedeliste1"/>
        <w:numPr>
          <w:ilvl w:val="0"/>
          <w:numId w:val="0"/>
        </w:numPr>
        <w:spacing w:line="276" w:lineRule="auto"/>
        <w:ind w:left="1416"/>
        <w:rPr>
          <w:i/>
          <w:sz w:val="23"/>
          <w:szCs w:val="23"/>
        </w:rPr>
      </w:pPr>
      <w:r w:rsidRPr="00F540B5">
        <w:rPr>
          <w:i/>
          <w:sz w:val="23"/>
          <w:szCs w:val="23"/>
        </w:rPr>
        <w:t xml:space="preserve">Attendu que, selon ce texte, l'officier de police judiciaire, qui, pour les nécessités de l'enquête, place une personne en garde à vue, doit aviser le procureur de la République dès le début de cette mesure et l'informer des motifs et de la qualification des faits notifiés à la personne, tout retard dans la mise en </w:t>
      </w:r>
      <w:r w:rsidR="00182413" w:rsidRPr="00F540B5">
        <w:rPr>
          <w:i/>
          <w:sz w:val="23"/>
          <w:szCs w:val="23"/>
        </w:rPr>
        <w:t xml:space="preserve">œuvre </w:t>
      </w:r>
      <w:r w:rsidRPr="00F540B5">
        <w:rPr>
          <w:i/>
          <w:sz w:val="23"/>
          <w:szCs w:val="23"/>
        </w:rPr>
        <w:t xml:space="preserve">de cette obligation, non justifié par des circonstances insurmontables, faisant nécessairement grief aux intérêts de ladite personne ; </w:t>
      </w:r>
      <w:r w:rsidRPr="00F540B5">
        <w:rPr>
          <w:sz w:val="23"/>
          <w:szCs w:val="23"/>
        </w:rPr>
        <w:t>(…)</w:t>
      </w:r>
    </w:p>
    <w:p w:rsidR="00972C50" w:rsidRPr="00F540B5" w:rsidRDefault="00972C50" w:rsidP="00F540B5">
      <w:pPr>
        <w:pStyle w:val="Paragraphedeliste1"/>
        <w:numPr>
          <w:ilvl w:val="0"/>
          <w:numId w:val="0"/>
        </w:numPr>
        <w:spacing w:line="276" w:lineRule="auto"/>
        <w:ind w:left="720"/>
        <w:rPr>
          <w:i/>
          <w:sz w:val="23"/>
          <w:szCs w:val="23"/>
        </w:rPr>
      </w:pPr>
    </w:p>
    <w:p w:rsidR="00972C50" w:rsidRPr="00F540B5" w:rsidRDefault="00972C50" w:rsidP="00F540B5">
      <w:pPr>
        <w:pStyle w:val="Paragraphedeliste1"/>
        <w:numPr>
          <w:ilvl w:val="0"/>
          <w:numId w:val="0"/>
        </w:numPr>
        <w:spacing w:line="276" w:lineRule="auto"/>
        <w:ind w:left="1440"/>
        <w:rPr>
          <w:i/>
          <w:sz w:val="23"/>
          <w:szCs w:val="23"/>
        </w:rPr>
      </w:pPr>
      <w:r w:rsidRPr="00F540B5">
        <w:rPr>
          <w:i/>
          <w:sz w:val="23"/>
          <w:szCs w:val="23"/>
        </w:rPr>
        <w:t xml:space="preserve">Attendu que, pour rejeter l'exception de nullité tirée du défaut d'information du procureur de la République sur la mesure de garde à vue, l'arrêt énonce, par motifs propres et adoptés, que M. X... </w:t>
      </w:r>
      <w:r w:rsidRPr="00F540B5">
        <w:rPr>
          <w:b/>
          <w:i/>
          <w:sz w:val="23"/>
          <w:szCs w:val="23"/>
        </w:rPr>
        <w:t>a été placé en garde à vue à 22 heures, qu'il résulte du procès-verbal de report de notification des droits établi à 22 heures 53 que le magistrat du parquet a été avisé par télécopie, que cette information est effectuée par tous moyens sans qu'il soit nécessaire ni d'en préciser les modalités ni d'adjoindre des justificatifs, et que le caractère tardif de cette information n'est pas expressément soulevé, ni établi</w:t>
      </w:r>
      <w:r w:rsidRPr="00F540B5">
        <w:rPr>
          <w:i/>
          <w:sz w:val="23"/>
          <w:szCs w:val="23"/>
        </w:rPr>
        <w:t xml:space="preserve"> ;</w:t>
      </w:r>
    </w:p>
    <w:p w:rsidR="00972C50" w:rsidRPr="00F540B5" w:rsidRDefault="00972C50" w:rsidP="00F540B5">
      <w:pPr>
        <w:pStyle w:val="Paragraphedeliste1"/>
        <w:numPr>
          <w:ilvl w:val="0"/>
          <w:numId w:val="0"/>
        </w:numPr>
        <w:spacing w:line="276" w:lineRule="auto"/>
        <w:ind w:left="720"/>
        <w:rPr>
          <w:i/>
          <w:sz w:val="23"/>
          <w:szCs w:val="23"/>
        </w:rPr>
      </w:pPr>
    </w:p>
    <w:p w:rsidR="00972C50" w:rsidRPr="00F540B5" w:rsidRDefault="00972C50" w:rsidP="00F540B5">
      <w:pPr>
        <w:pStyle w:val="Paragraphedeliste1"/>
        <w:numPr>
          <w:ilvl w:val="0"/>
          <w:numId w:val="0"/>
        </w:numPr>
        <w:spacing w:line="276" w:lineRule="auto"/>
        <w:ind w:left="1416"/>
        <w:rPr>
          <w:sz w:val="23"/>
          <w:szCs w:val="23"/>
        </w:rPr>
      </w:pPr>
      <w:r w:rsidRPr="00F540B5">
        <w:rPr>
          <w:b/>
          <w:i/>
          <w:sz w:val="23"/>
          <w:szCs w:val="23"/>
        </w:rPr>
        <w:t xml:space="preserve">Mais attendu qu'en statuant ainsi, alors qu'aucun élément de la procédure n'établit que le procureur de la République a été informé, dès le début de la </w:t>
      </w:r>
      <w:r w:rsidRPr="00F540B5">
        <w:rPr>
          <w:b/>
          <w:i/>
          <w:sz w:val="23"/>
          <w:szCs w:val="23"/>
        </w:rPr>
        <w:lastRenderedPageBreak/>
        <w:t>mesure, du placement en garde à vue, des motifs justifiant cette décision et de la qualification des faits, la cour d'appel a méconnu le sens et la portée du texte susvisé et l</w:t>
      </w:r>
      <w:r w:rsidR="00F1660C" w:rsidRPr="00F540B5">
        <w:rPr>
          <w:b/>
          <w:i/>
          <w:sz w:val="23"/>
          <w:szCs w:val="23"/>
        </w:rPr>
        <w:t>e principe ci-dessus mentionné</w:t>
      </w:r>
      <w:r w:rsidR="00F1660C" w:rsidRPr="00F540B5">
        <w:rPr>
          <w:sz w:val="23"/>
          <w:szCs w:val="23"/>
        </w:rPr>
        <w:t> »</w:t>
      </w:r>
      <w:r w:rsidR="00F1660C" w:rsidRPr="00F540B5">
        <w:rPr>
          <w:rStyle w:val="Appelnotedebasdep"/>
          <w:sz w:val="23"/>
          <w:szCs w:val="23"/>
        </w:rPr>
        <w:footnoteReference w:id="4"/>
      </w:r>
      <w:r w:rsidR="00F1660C" w:rsidRPr="00F540B5">
        <w:rPr>
          <w:sz w:val="23"/>
          <w:szCs w:val="23"/>
        </w:rPr>
        <w:t>.</w:t>
      </w:r>
    </w:p>
    <w:p w:rsidR="00F1660C" w:rsidRPr="00F540B5" w:rsidRDefault="00F1660C" w:rsidP="00F540B5">
      <w:pPr>
        <w:pStyle w:val="Paragraphedeliste1"/>
        <w:numPr>
          <w:ilvl w:val="0"/>
          <w:numId w:val="0"/>
        </w:numPr>
        <w:spacing w:line="276" w:lineRule="auto"/>
        <w:ind w:left="1416"/>
        <w:rPr>
          <w:sz w:val="23"/>
          <w:szCs w:val="23"/>
        </w:rPr>
      </w:pPr>
    </w:p>
    <w:p w:rsidR="00F95E70" w:rsidRPr="00F540B5" w:rsidRDefault="00F95E70" w:rsidP="00F540B5">
      <w:pPr>
        <w:pStyle w:val="Paragraphedeliste1"/>
        <w:numPr>
          <w:ilvl w:val="0"/>
          <w:numId w:val="0"/>
        </w:numPr>
        <w:spacing w:line="276" w:lineRule="auto"/>
        <w:ind w:left="1416"/>
        <w:rPr>
          <w:sz w:val="23"/>
          <w:szCs w:val="23"/>
        </w:rPr>
      </w:pPr>
    </w:p>
    <w:p w:rsidR="003A7614" w:rsidRPr="00F540B5" w:rsidRDefault="003A7614" w:rsidP="00F540B5">
      <w:pPr>
        <w:pStyle w:val="Paragraphedeliste1"/>
        <w:spacing w:line="276" w:lineRule="auto"/>
        <w:rPr>
          <w:i/>
          <w:sz w:val="23"/>
          <w:szCs w:val="23"/>
        </w:rPr>
      </w:pPr>
      <w:r w:rsidRPr="00F540B5">
        <w:rPr>
          <w:sz w:val="23"/>
          <w:szCs w:val="23"/>
        </w:rPr>
        <w:t xml:space="preserve">En l’espèce, </w:t>
      </w:r>
      <w:r w:rsidR="00A774D8" w:rsidRPr="00F540B5">
        <w:rPr>
          <w:sz w:val="23"/>
          <w:szCs w:val="23"/>
        </w:rPr>
        <w:t xml:space="preserve"> </w:t>
      </w:r>
    </w:p>
    <w:p w:rsidR="00F95E70" w:rsidRPr="00F540B5" w:rsidRDefault="00F95E70" w:rsidP="00F540B5">
      <w:pPr>
        <w:pStyle w:val="Paragraphedeliste1"/>
        <w:numPr>
          <w:ilvl w:val="0"/>
          <w:numId w:val="0"/>
        </w:numPr>
        <w:spacing w:line="276" w:lineRule="auto"/>
        <w:ind w:left="720" w:hanging="360"/>
        <w:rPr>
          <w:sz w:val="23"/>
          <w:szCs w:val="23"/>
        </w:rPr>
      </w:pPr>
    </w:p>
    <w:p w:rsidR="00F95E70" w:rsidRPr="00F540B5" w:rsidRDefault="00F95E70" w:rsidP="00F540B5">
      <w:pPr>
        <w:pStyle w:val="Paragraphedeliste1"/>
        <w:numPr>
          <w:ilvl w:val="0"/>
          <w:numId w:val="0"/>
        </w:numPr>
        <w:spacing w:line="276" w:lineRule="auto"/>
        <w:ind w:left="720" w:hanging="360"/>
        <w:rPr>
          <w:sz w:val="23"/>
          <w:szCs w:val="23"/>
        </w:rPr>
      </w:pPr>
    </w:p>
    <w:p w:rsidR="00F95E70" w:rsidRPr="00F540B5" w:rsidRDefault="00F95E70" w:rsidP="00F540B5">
      <w:pPr>
        <w:pStyle w:val="Paragraphedeliste1"/>
        <w:numPr>
          <w:ilvl w:val="0"/>
          <w:numId w:val="0"/>
        </w:numPr>
        <w:spacing w:line="276" w:lineRule="auto"/>
        <w:ind w:left="720" w:hanging="360"/>
        <w:rPr>
          <w:sz w:val="23"/>
          <w:szCs w:val="23"/>
        </w:rPr>
      </w:pPr>
    </w:p>
    <w:p w:rsidR="00F95E70" w:rsidRPr="00F540B5" w:rsidRDefault="00F95E70" w:rsidP="00F540B5">
      <w:pPr>
        <w:pStyle w:val="Paragraphedeliste1"/>
        <w:numPr>
          <w:ilvl w:val="0"/>
          <w:numId w:val="0"/>
        </w:numPr>
        <w:spacing w:line="276" w:lineRule="auto"/>
        <w:ind w:left="720" w:hanging="360"/>
        <w:rPr>
          <w:sz w:val="23"/>
          <w:szCs w:val="23"/>
        </w:rPr>
      </w:pPr>
    </w:p>
    <w:p w:rsidR="00F95E70" w:rsidRPr="00F540B5" w:rsidRDefault="00F95E70" w:rsidP="00F540B5">
      <w:pPr>
        <w:pStyle w:val="Paragraphedeliste1"/>
        <w:numPr>
          <w:ilvl w:val="0"/>
          <w:numId w:val="0"/>
        </w:numPr>
        <w:spacing w:line="276" w:lineRule="auto"/>
        <w:ind w:left="720" w:hanging="360"/>
        <w:rPr>
          <w:i/>
          <w:sz w:val="23"/>
          <w:szCs w:val="23"/>
        </w:rPr>
      </w:pPr>
    </w:p>
    <w:p w:rsidR="00A774D8" w:rsidRPr="00F540B5" w:rsidRDefault="00A774D8" w:rsidP="00F540B5">
      <w:pPr>
        <w:pStyle w:val="Paragraphedeliste1"/>
        <w:numPr>
          <w:ilvl w:val="0"/>
          <w:numId w:val="0"/>
        </w:numPr>
        <w:spacing w:line="276" w:lineRule="auto"/>
        <w:ind w:left="720"/>
        <w:rPr>
          <w:i/>
          <w:sz w:val="23"/>
          <w:szCs w:val="23"/>
        </w:rPr>
      </w:pPr>
    </w:p>
    <w:p w:rsidR="003A7614" w:rsidRPr="00F540B5" w:rsidRDefault="003A7614" w:rsidP="00F540B5">
      <w:pPr>
        <w:pStyle w:val="Paragraphedeliste1"/>
        <w:numPr>
          <w:ilvl w:val="0"/>
          <w:numId w:val="0"/>
        </w:numPr>
        <w:spacing w:line="276" w:lineRule="auto"/>
        <w:ind w:left="720"/>
        <w:rPr>
          <w:i/>
          <w:sz w:val="23"/>
          <w:szCs w:val="23"/>
        </w:rPr>
      </w:pPr>
    </w:p>
    <w:p w:rsidR="00C13B53" w:rsidRPr="00F540B5" w:rsidRDefault="00C13B53" w:rsidP="00F540B5">
      <w:pPr>
        <w:pStyle w:val="Paragraphedeliste1"/>
        <w:numPr>
          <w:ilvl w:val="0"/>
          <w:numId w:val="0"/>
        </w:numPr>
        <w:spacing w:line="276" w:lineRule="auto"/>
        <w:ind w:left="720"/>
        <w:rPr>
          <w:sz w:val="23"/>
          <w:szCs w:val="23"/>
        </w:rPr>
      </w:pPr>
    </w:p>
    <w:p w:rsidR="00C13B53" w:rsidRPr="00F540B5" w:rsidRDefault="00C13B53" w:rsidP="00F540B5">
      <w:pPr>
        <w:pStyle w:val="Paragraphedeliste1"/>
        <w:numPr>
          <w:ilvl w:val="0"/>
          <w:numId w:val="0"/>
        </w:numPr>
        <w:spacing w:line="276" w:lineRule="auto"/>
        <w:ind w:left="720"/>
        <w:rPr>
          <w:sz w:val="23"/>
          <w:szCs w:val="23"/>
        </w:rPr>
      </w:pPr>
    </w:p>
    <w:p w:rsidR="00C13B53" w:rsidRPr="00F540B5" w:rsidRDefault="00C13B53" w:rsidP="00F540B5">
      <w:pPr>
        <w:pStyle w:val="Paragraphedeliste1"/>
        <w:numPr>
          <w:ilvl w:val="0"/>
          <w:numId w:val="0"/>
        </w:numPr>
        <w:spacing w:line="276" w:lineRule="auto"/>
        <w:ind w:left="720"/>
        <w:rPr>
          <w:sz w:val="23"/>
          <w:szCs w:val="23"/>
        </w:rPr>
      </w:pPr>
    </w:p>
    <w:p w:rsidR="003A7614" w:rsidRPr="00F540B5" w:rsidRDefault="003A7614" w:rsidP="00F540B5">
      <w:pPr>
        <w:pStyle w:val="Paragraphedeliste1"/>
        <w:numPr>
          <w:ilvl w:val="0"/>
          <w:numId w:val="0"/>
        </w:numPr>
        <w:spacing w:line="276" w:lineRule="auto"/>
        <w:ind w:left="720"/>
        <w:rPr>
          <w:sz w:val="23"/>
          <w:szCs w:val="23"/>
        </w:rPr>
      </w:pPr>
      <w:r w:rsidRPr="00F540B5">
        <w:rPr>
          <w:sz w:val="23"/>
          <w:szCs w:val="23"/>
        </w:rPr>
        <w:t xml:space="preserve">En l’absence de toute circonstance insurmontable, une telle durée de </w:t>
      </w:r>
      <w:r w:rsidR="003546D2" w:rsidRPr="00F540B5">
        <w:rPr>
          <w:sz w:val="23"/>
          <w:szCs w:val="23"/>
        </w:rPr>
        <w:t xml:space="preserve">                    </w:t>
      </w:r>
      <w:r w:rsidRPr="00F540B5">
        <w:rPr>
          <w:sz w:val="23"/>
          <w:szCs w:val="23"/>
        </w:rPr>
        <w:t xml:space="preserve">constitue une violation </w:t>
      </w:r>
      <w:r w:rsidR="003171D1" w:rsidRPr="00F540B5">
        <w:rPr>
          <w:sz w:val="23"/>
          <w:szCs w:val="23"/>
        </w:rPr>
        <w:t xml:space="preserve">manifeste </w:t>
      </w:r>
      <w:r w:rsidRPr="00F540B5">
        <w:rPr>
          <w:sz w:val="23"/>
          <w:szCs w:val="23"/>
        </w:rPr>
        <w:t>de</w:t>
      </w:r>
      <w:r w:rsidR="003171D1" w:rsidRPr="00F540B5">
        <w:rPr>
          <w:sz w:val="23"/>
          <w:szCs w:val="23"/>
        </w:rPr>
        <w:t>s</w:t>
      </w:r>
      <w:r w:rsidRPr="00F540B5">
        <w:rPr>
          <w:sz w:val="23"/>
          <w:szCs w:val="23"/>
        </w:rPr>
        <w:t xml:space="preserve"> </w:t>
      </w:r>
      <w:r w:rsidR="003171D1" w:rsidRPr="00F540B5">
        <w:rPr>
          <w:sz w:val="23"/>
          <w:szCs w:val="23"/>
        </w:rPr>
        <w:t xml:space="preserve">prescriptions de </w:t>
      </w:r>
      <w:r w:rsidRPr="00F540B5">
        <w:rPr>
          <w:sz w:val="23"/>
          <w:szCs w:val="23"/>
        </w:rPr>
        <w:t xml:space="preserve">l’article 63 du CPP </w:t>
      </w:r>
      <w:r w:rsidR="003171D1" w:rsidRPr="00F540B5">
        <w:rPr>
          <w:sz w:val="23"/>
          <w:szCs w:val="23"/>
        </w:rPr>
        <w:t>tel qu’appliqué par la jurisprudence de la Cour de cassation faisant nécessairement grief au mis en cause.</w:t>
      </w:r>
    </w:p>
    <w:p w:rsidR="003171D1" w:rsidRPr="00F540B5" w:rsidRDefault="003171D1" w:rsidP="00F540B5">
      <w:pPr>
        <w:pStyle w:val="Paragraphedeliste1"/>
        <w:numPr>
          <w:ilvl w:val="0"/>
          <w:numId w:val="0"/>
        </w:numPr>
        <w:spacing w:line="276" w:lineRule="auto"/>
        <w:ind w:left="720"/>
        <w:rPr>
          <w:sz w:val="23"/>
          <w:szCs w:val="23"/>
        </w:rPr>
      </w:pPr>
    </w:p>
    <w:p w:rsidR="003171D1" w:rsidRPr="00F540B5" w:rsidRDefault="003171D1" w:rsidP="00F540B5">
      <w:pPr>
        <w:pStyle w:val="Paragraphedeliste1"/>
        <w:numPr>
          <w:ilvl w:val="0"/>
          <w:numId w:val="0"/>
        </w:numPr>
        <w:spacing w:line="276" w:lineRule="auto"/>
        <w:ind w:left="720"/>
        <w:rPr>
          <w:i/>
          <w:sz w:val="23"/>
          <w:szCs w:val="23"/>
        </w:rPr>
      </w:pPr>
      <w:r w:rsidRPr="00F540B5">
        <w:rPr>
          <w:b/>
          <w:sz w:val="23"/>
          <w:szCs w:val="23"/>
          <w:u w:val="single"/>
        </w:rPr>
        <w:t xml:space="preserve">Il est ainsi demandé au Tribunal d’annuler le procès-verbal </w:t>
      </w:r>
      <w:r w:rsidR="00512974" w:rsidRPr="00F540B5">
        <w:rPr>
          <w:b/>
          <w:sz w:val="23"/>
          <w:szCs w:val="23"/>
          <w:u w:val="single"/>
        </w:rPr>
        <w:t xml:space="preserve">de notification des droits, </w:t>
      </w:r>
      <w:r w:rsidRPr="00F540B5">
        <w:rPr>
          <w:b/>
          <w:sz w:val="23"/>
          <w:szCs w:val="23"/>
          <w:u w:val="single"/>
        </w:rPr>
        <w:t>d’avis à magistrat ainsi que l’ensemble des procès-verbaux subséquents et notamment les actes réalisés au cours de la garde à vue d</w:t>
      </w:r>
      <w:r w:rsidR="00425058">
        <w:rPr>
          <w:b/>
          <w:sz w:val="23"/>
          <w:szCs w:val="23"/>
          <w:u w:val="single"/>
        </w:rPr>
        <w:t>u Concluant</w:t>
      </w:r>
      <w:r w:rsidRPr="00F540B5">
        <w:rPr>
          <w:sz w:val="23"/>
          <w:szCs w:val="23"/>
        </w:rPr>
        <w:t>.</w:t>
      </w:r>
    </w:p>
    <w:p w:rsidR="00F1660C" w:rsidRPr="00F540B5" w:rsidRDefault="00F1660C" w:rsidP="00F540B5">
      <w:pPr>
        <w:pStyle w:val="Paragraphedeliste1"/>
        <w:numPr>
          <w:ilvl w:val="0"/>
          <w:numId w:val="0"/>
        </w:numPr>
        <w:spacing w:line="276" w:lineRule="auto"/>
        <w:ind w:left="720"/>
        <w:rPr>
          <w:sz w:val="23"/>
          <w:szCs w:val="23"/>
        </w:rPr>
      </w:pPr>
    </w:p>
    <w:p w:rsidR="00603A96" w:rsidRPr="00F540B5" w:rsidRDefault="00603A96" w:rsidP="00F540B5">
      <w:pPr>
        <w:spacing w:line="276" w:lineRule="auto"/>
        <w:jc w:val="center"/>
        <w:rPr>
          <w:rFonts w:ascii="Garamond" w:hAnsi="Garamond"/>
          <w:sz w:val="23"/>
          <w:szCs w:val="23"/>
        </w:rPr>
      </w:pPr>
      <w:r w:rsidRPr="00F540B5">
        <w:rPr>
          <w:rFonts w:ascii="Garamond" w:hAnsi="Garamond"/>
          <w:sz w:val="23"/>
          <w:szCs w:val="23"/>
        </w:rPr>
        <w:t>*          *          *</w:t>
      </w:r>
    </w:p>
    <w:p w:rsidR="00D70FB4" w:rsidRPr="00F540B5" w:rsidRDefault="00603A96" w:rsidP="00F540B5">
      <w:pPr>
        <w:pStyle w:val="Paragraphedeliste1"/>
        <w:spacing w:line="276" w:lineRule="auto"/>
        <w:rPr>
          <w:sz w:val="23"/>
          <w:szCs w:val="23"/>
        </w:rPr>
      </w:pPr>
      <w:r w:rsidRPr="00F540B5">
        <w:rPr>
          <w:sz w:val="23"/>
          <w:szCs w:val="23"/>
        </w:rPr>
        <w:t xml:space="preserve">L’article 459 du CPP prévoit </w:t>
      </w:r>
      <w:r w:rsidR="00D70FB4" w:rsidRPr="00F540B5">
        <w:rPr>
          <w:sz w:val="23"/>
          <w:szCs w:val="23"/>
        </w:rPr>
        <w:t xml:space="preserve">en son alinéa 4 que </w:t>
      </w:r>
      <w:r w:rsidRPr="00F540B5">
        <w:rPr>
          <w:sz w:val="23"/>
          <w:szCs w:val="23"/>
        </w:rPr>
        <w:t xml:space="preserve">la juridiction correctionnelle </w:t>
      </w:r>
      <w:r w:rsidR="00D70FB4" w:rsidRPr="00F540B5">
        <w:rPr>
          <w:sz w:val="23"/>
          <w:szCs w:val="23"/>
        </w:rPr>
        <w:t xml:space="preserve">ne peut joindre au fond une exception de procédure si celle-ci </w:t>
      </w:r>
      <w:r w:rsidR="00D70FB4" w:rsidRPr="00F540B5">
        <w:rPr>
          <w:sz w:val="23"/>
          <w:szCs w:val="23"/>
          <w:u w:val="single"/>
        </w:rPr>
        <w:t>touche à l’ordre public</w:t>
      </w:r>
      <w:r w:rsidR="00D70FB4" w:rsidRPr="00F540B5">
        <w:rPr>
          <w:sz w:val="23"/>
          <w:szCs w:val="23"/>
        </w:rPr>
        <w:t>.</w:t>
      </w:r>
    </w:p>
    <w:p w:rsidR="00D70FB4" w:rsidRPr="00F540B5" w:rsidRDefault="00D70FB4" w:rsidP="00F540B5">
      <w:pPr>
        <w:pStyle w:val="Paragraphedeliste1"/>
        <w:numPr>
          <w:ilvl w:val="0"/>
          <w:numId w:val="0"/>
        </w:numPr>
        <w:spacing w:line="276" w:lineRule="auto"/>
        <w:ind w:left="720"/>
        <w:rPr>
          <w:sz w:val="23"/>
          <w:szCs w:val="23"/>
        </w:rPr>
      </w:pPr>
    </w:p>
    <w:p w:rsidR="00D70FB4" w:rsidRPr="00F540B5" w:rsidRDefault="00D70FB4" w:rsidP="00F540B5">
      <w:pPr>
        <w:pStyle w:val="Paragraphedeliste1"/>
        <w:numPr>
          <w:ilvl w:val="0"/>
          <w:numId w:val="0"/>
        </w:numPr>
        <w:spacing w:line="276" w:lineRule="auto"/>
        <w:ind w:left="720"/>
        <w:rPr>
          <w:sz w:val="23"/>
          <w:szCs w:val="23"/>
        </w:rPr>
      </w:pPr>
      <w:r w:rsidRPr="00F540B5">
        <w:rPr>
          <w:sz w:val="23"/>
          <w:szCs w:val="23"/>
        </w:rPr>
        <w:t>Il est constant que les principes</w:t>
      </w:r>
      <w:r w:rsidR="00F25595" w:rsidRPr="00F540B5">
        <w:rPr>
          <w:sz w:val="23"/>
          <w:szCs w:val="23"/>
        </w:rPr>
        <w:t xml:space="preserve"> afférant </w:t>
      </w:r>
      <w:r w:rsidR="00EA5497" w:rsidRPr="00F540B5">
        <w:rPr>
          <w:sz w:val="23"/>
          <w:szCs w:val="23"/>
        </w:rPr>
        <w:t>aux circonstances de la privation de liberté d’un individu sont d’ordre public.</w:t>
      </w:r>
    </w:p>
    <w:p w:rsidR="00EA5497" w:rsidRPr="00F540B5" w:rsidRDefault="00EA5497" w:rsidP="00F540B5">
      <w:pPr>
        <w:pStyle w:val="Paragraphedeliste1"/>
        <w:numPr>
          <w:ilvl w:val="0"/>
          <w:numId w:val="0"/>
        </w:numPr>
        <w:spacing w:line="276" w:lineRule="auto"/>
        <w:ind w:left="720" w:hanging="360"/>
        <w:rPr>
          <w:sz w:val="23"/>
          <w:szCs w:val="23"/>
        </w:rPr>
      </w:pPr>
    </w:p>
    <w:p w:rsidR="00EA5497" w:rsidRPr="00F540B5" w:rsidRDefault="00EA5497" w:rsidP="00F540B5">
      <w:pPr>
        <w:pStyle w:val="Paragraphedeliste1"/>
        <w:numPr>
          <w:ilvl w:val="0"/>
          <w:numId w:val="0"/>
        </w:numPr>
        <w:spacing w:line="276" w:lineRule="auto"/>
        <w:ind w:left="1068" w:hanging="360"/>
        <w:rPr>
          <w:sz w:val="23"/>
          <w:szCs w:val="23"/>
        </w:rPr>
      </w:pPr>
      <w:r w:rsidRPr="00F540B5">
        <w:rPr>
          <w:sz w:val="23"/>
          <w:szCs w:val="23"/>
        </w:rPr>
        <w:t>Aussi, il sera demandé au Tribunal de céans de ne pas joindre l’incident au fond.</w:t>
      </w:r>
    </w:p>
    <w:p w:rsidR="00D70FB4" w:rsidRPr="00F540B5" w:rsidRDefault="00D70FB4" w:rsidP="00F540B5">
      <w:pPr>
        <w:pStyle w:val="Paragraphedeliste1"/>
        <w:numPr>
          <w:ilvl w:val="0"/>
          <w:numId w:val="0"/>
        </w:numPr>
        <w:spacing w:line="276" w:lineRule="auto"/>
        <w:ind w:left="720" w:hanging="360"/>
        <w:rPr>
          <w:sz w:val="23"/>
          <w:szCs w:val="23"/>
        </w:rPr>
      </w:pPr>
    </w:p>
    <w:p w:rsidR="00D70FB4" w:rsidRPr="00F540B5" w:rsidRDefault="00D70FB4" w:rsidP="00F540B5">
      <w:pPr>
        <w:spacing w:line="276" w:lineRule="auto"/>
        <w:rPr>
          <w:rFonts w:ascii="Garamond" w:hAnsi="Garamond"/>
          <w:sz w:val="23"/>
          <w:szCs w:val="23"/>
        </w:rPr>
      </w:pPr>
      <w:r w:rsidRPr="00F540B5">
        <w:rPr>
          <w:sz w:val="23"/>
          <w:szCs w:val="23"/>
        </w:rPr>
        <w:br w:type="page"/>
      </w:r>
    </w:p>
    <w:p w:rsidR="003171D1" w:rsidRPr="00F540B5" w:rsidRDefault="003171D1" w:rsidP="00F540B5">
      <w:pPr>
        <w:pStyle w:val="Paragraphedeliste1"/>
        <w:numPr>
          <w:ilvl w:val="0"/>
          <w:numId w:val="0"/>
        </w:numPr>
        <w:spacing w:line="276" w:lineRule="auto"/>
        <w:ind w:left="720"/>
        <w:jc w:val="center"/>
        <w:rPr>
          <w:b/>
          <w:smallCaps/>
          <w:sz w:val="23"/>
          <w:szCs w:val="23"/>
        </w:rPr>
      </w:pPr>
      <w:r w:rsidRPr="00F540B5">
        <w:rPr>
          <w:b/>
          <w:smallCaps/>
          <w:sz w:val="23"/>
          <w:szCs w:val="23"/>
        </w:rPr>
        <w:lastRenderedPageBreak/>
        <w:t>Par ces motifs</w:t>
      </w:r>
    </w:p>
    <w:p w:rsidR="003171D1" w:rsidRPr="00F540B5" w:rsidRDefault="003171D1" w:rsidP="00F540B5">
      <w:pPr>
        <w:pStyle w:val="Paragraphedeliste1"/>
        <w:numPr>
          <w:ilvl w:val="0"/>
          <w:numId w:val="0"/>
        </w:numPr>
        <w:spacing w:line="276" w:lineRule="auto"/>
        <w:ind w:left="720"/>
        <w:rPr>
          <w:sz w:val="23"/>
          <w:szCs w:val="23"/>
        </w:rPr>
      </w:pPr>
    </w:p>
    <w:p w:rsidR="003171D1" w:rsidRPr="00F540B5" w:rsidRDefault="003171D1" w:rsidP="00F540B5">
      <w:pPr>
        <w:pStyle w:val="Paragraphedeliste1"/>
        <w:numPr>
          <w:ilvl w:val="0"/>
          <w:numId w:val="0"/>
        </w:numPr>
        <w:spacing w:line="276" w:lineRule="auto"/>
        <w:ind w:left="720" w:hanging="360"/>
        <w:rPr>
          <w:sz w:val="23"/>
          <w:szCs w:val="23"/>
        </w:rPr>
      </w:pPr>
    </w:p>
    <w:p w:rsidR="006D6C1E" w:rsidRPr="00F540B5" w:rsidRDefault="006D6C1E" w:rsidP="00F540B5">
      <w:pPr>
        <w:pStyle w:val="Paragraphedeliste1"/>
        <w:numPr>
          <w:ilvl w:val="0"/>
          <w:numId w:val="0"/>
        </w:numPr>
        <w:spacing w:line="276" w:lineRule="auto"/>
        <w:ind w:left="720" w:hanging="360"/>
        <w:rPr>
          <w:sz w:val="23"/>
          <w:szCs w:val="23"/>
        </w:rPr>
      </w:pPr>
      <w:r w:rsidRPr="00F540B5">
        <w:rPr>
          <w:sz w:val="23"/>
          <w:szCs w:val="23"/>
        </w:rPr>
        <w:t>Vu l’article 5-2 de la Convention européenne de sauvegarde des droits de l’homme,</w:t>
      </w:r>
    </w:p>
    <w:p w:rsidR="006D6C1E" w:rsidRPr="00F540B5" w:rsidRDefault="006D6C1E" w:rsidP="00F540B5">
      <w:pPr>
        <w:pStyle w:val="Paragraphedeliste1"/>
        <w:numPr>
          <w:ilvl w:val="0"/>
          <w:numId w:val="0"/>
        </w:numPr>
        <w:spacing w:line="276" w:lineRule="auto"/>
        <w:ind w:left="720" w:hanging="360"/>
        <w:rPr>
          <w:sz w:val="23"/>
          <w:szCs w:val="23"/>
        </w:rPr>
      </w:pPr>
    </w:p>
    <w:p w:rsidR="003171D1" w:rsidRPr="00F540B5" w:rsidRDefault="003171D1" w:rsidP="00F540B5">
      <w:pPr>
        <w:pStyle w:val="Paragraphedeliste1"/>
        <w:numPr>
          <w:ilvl w:val="0"/>
          <w:numId w:val="0"/>
        </w:numPr>
        <w:spacing w:line="276" w:lineRule="auto"/>
        <w:ind w:left="720" w:hanging="360"/>
        <w:rPr>
          <w:sz w:val="23"/>
          <w:szCs w:val="23"/>
        </w:rPr>
      </w:pPr>
      <w:r w:rsidRPr="00F540B5">
        <w:rPr>
          <w:sz w:val="23"/>
          <w:szCs w:val="23"/>
        </w:rPr>
        <w:t>Vu l</w:t>
      </w:r>
      <w:r w:rsidR="00A774D8" w:rsidRPr="00F540B5">
        <w:rPr>
          <w:sz w:val="23"/>
          <w:szCs w:val="23"/>
        </w:rPr>
        <w:t>es articles préliminaire,</w:t>
      </w:r>
      <w:r w:rsidR="00205AB9" w:rsidRPr="00F540B5">
        <w:rPr>
          <w:sz w:val="23"/>
          <w:szCs w:val="23"/>
        </w:rPr>
        <w:t xml:space="preserve"> 63,</w:t>
      </w:r>
      <w:r w:rsidR="00A774D8" w:rsidRPr="00F540B5">
        <w:rPr>
          <w:sz w:val="23"/>
          <w:szCs w:val="23"/>
        </w:rPr>
        <w:t xml:space="preserve"> 63-1</w:t>
      </w:r>
      <w:r w:rsidR="00C67AC8" w:rsidRPr="00F540B5">
        <w:rPr>
          <w:sz w:val="23"/>
          <w:szCs w:val="23"/>
        </w:rPr>
        <w:t>,</w:t>
      </w:r>
      <w:r w:rsidR="00A774D8" w:rsidRPr="00F540B5">
        <w:rPr>
          <w:sz w:val="23"/>
          <w:szCs w:val="23"/>
        </w:rPr>
        <w:t xml:space="preserve"> </w:t>
      </w:r>
      <w:r w:rsidRPr="00F540B5">
        <w:rPr>
          <w:sz w:val="23"/>
          <w:szCs w:val="23"/>
        </w:rPr>
        <w:t>385</w:t>
      </w:r>
      <w:r w:rsidR="00151CAB" w:rsidRPr="00F540B5">
        <w:rPr>
          <w:sz w:val="23"/>
          <w:szCs w:val="23"/>
        </w:rPr>
        <w:t>, 45</w:t>
      </w:r>
      <w:r w:rsidR="00603BDC" w:rsidRPr="00F540B5">
        <w:rPr>
          <w:sz w:val="23"/>
          <w:szCs w:val="23"/>
        </w:rPr>
        <w:t>9</w:t>
      </w:r>
      <w:r w:rsidRPr="00F540B5">
        <w:rPr>
          <w:sz w:val="23"/>
          <w:szCs w:val="23"/>
        </w:rPr>
        <w:t xml:space="preserve"> </w:t>
      </w:r>
      <w:r w:rsidR="00C67AC8" w:rsidRPr="00F540B5">
        <w:rPr>
          <w:sz w:val="23"/>
          <w:szCs w:val="23"/>
        </w:rPr>
        <w:t xml:space="preserve">et 802 </w:t>
      </w:r>
      <w:r w:rsidRPr="00F540B5">
        <w:rPr>
          <w:sz w:val="23"/>
          <w:szCs w:val="23"/>
        </w:rPr>
        <w:t>du Code de procédure pénale,</w:t>
      </w:r>
    </w:p>
    <w:p w:rsidR="00A774D8" w:rsidRPr="00F540B5" w:rsidRDefault="00A774D8" w:rsidP="00F540B5">
      <w:pPr>
        <w:pStyle w:val="Paragraphedeliste1"/>
        <w:numPr>
          <w:ilvl w:val="0"/>
          <w:numId w:val="0"/>
        </w:numPr>
        <w:spacing w:line="276" w:lineRule="auto"/>
        <w:ind w:left="720" w:hanging="360"/>
        <w:rPr>
          <w:sz w:val="23"/>
          <w:szCs w:val="23"/>
        </w:rPr>
      </w:pPr>
    </w:p>
    <w:p w:rsidR="003171D1" w:rsidRPr="00F540B5" w:rsidRDefault="003171D1" w:rsidP="00F540B5">
      <w:pPr>
        <w:pStyle w:val="Paragraphedeliste1"/>
        <w:numPr>
          <w:ilvl w:val="0"/>
          <w:numId w:val="0"/>
        </w:numPr>
        <w:spacing w:line="276" w:lineRule="auto"/>
        <w:ind w:left="720" w:hanging="360"/>
        <w:rPr>
          <w:sz w:val="23"/>
          <w:szCs w:val="23"/>
        </w:rPr>
      </w:pPr>
      <w:r w:rsidRPr="00F540B5">
        <w:rPr>
          <w:sz w:val="23"/>
          <w:szCs w:val="23"/>
        </w:rPr>
        <w:t>Vu les présentes conclusions et la jurisprudence y reproduite,</w:t>
      </w:r>
    </w:p>
    <w:p w:rsidR="003171D1" w:rsidRPr="00F540B5" w:rsidRDefault="003171D1" w:rsidP="00F540B5">
      <w:pPr>
        <w:pStyle w:val="Paragraphedeliste1"/>
        <w:numPr>
          <w:ilvl w:val="0"/>
          <w:numId w:val="0"/>
        </w:numPr>
        <w:spacing w:line="276" w:lineRule="auto"/>
        <w:ind w:left="720" w:hanging="360"/>
        <w:rPr>
          <w:sz w:val="23"/>
          <w:szCs w:val="23"/>
        </w:rPr>
      </w:pPr>
    </w:p>
    <w:p w:rsidR="003171D1" w:rsidRPr="00F540B5" w:rsidRDefault="003171D1" w:rsidP="00F540B5">
      <w:pPr>
        <w:pStyle w:val="Paragraphedeliste1"/>
        <w:numPr>
          <w:ilvl w:val="0"/>
          <w:numId w:val="0"/>
        </w:numPr>
        <w:spacing w:line="276" w:lineRule="auto"/>
        <w:ind w:left="720" w:hanging="360"/>
        <w:rPr>
          <w:sz w:val="23"/>
          <w:szCs w:val="23"/>
        </w:rPr>
      </w:pPr>
      <w:r w:rsidRPr="00F540B5">
        <w:rPr>
          <w:sz w:val="23"/>
          <w:szCs w:val="23"/>
        </w:rPr>
        <w:t>Il est demandé au Tribunal de :</w:t>
      </w:r>
    </w:p>
    <w:p w:rsidR="003171D1" w:rsidRPr="00F540B5" w:rsidRDefault="003171D1" w:rsidP="00F540B5">
      <w:pPr>
        <w:pStyle w:val="Paragraphedeliste1"/>
        <w:numPr>
          <w:ilvl w:val="0"/>
          <w:numId w:val="0"/>
        </w:numPr>
        <w:spacing w:line="276" w:lineRule="auto"/>
        <w:ind w:left="720" w:hanging="360"/>
        <w:rPr>
          <w:sz w:val="23"/>
          <w:szCs w:val="23"/>
        </w:rPr>
      </w:pPr>
    </w:p>
    <w:p w:rsidR="00304175" w:rsidRPr="00F540B5" w:rsidRDefault="00304175" w:rsidP="00F540B5">
      <w:pPr>
        <w:pStyle w:val="Paragraphedeliste1"/>
        <w:numPr>
          <w:ilvl w:val="0"/>
          <w:numId w:val="6"/>
        </w:numPr>
        <w:spacing w:line="276" w:lineRule="auto"/>
        <w:rPr>
          <w:sz w:val="23"/>
          <w:szCs w:val="23"/>
        </w:rPr>
      </w:pPr>
      <w:r w:rsidRPr="00F540B5">
        <w:rPr>
          <w:b/>
          <w:sz w:val="23"/>
          <w:szCs w:val="23"/>
        </w:rPr>
        <w:t>Dire et juger</w:t>
      </w:r>
      <w:r w:rsidRPr="00F540B5">
        <w:rPr>
          <w:sz w:val="23"/>
          <w:szCs w:val="23"/>
        </w:rPr>
        <w:t xml:space="preserve"> recevable l’exception de nullité ;</w:t>
      </w:r>
    </w:p>
    <w:p w:rsidR="00151CAB" w:rsidRPr="00F540B5" w:rsidRDefault="00151CAB" w:rsidP="00F540B5">
      <w:pPr>
        <w:pStyle w:val="Paragraphedeliste1"/>
        <w:numPr>
          <w:ilvl w:val="0"/>
          <w:numId w:val="0"/>
        </w:numPr>
        <w:spacing w:line="276" w:lineRule="auto"/>
        <w:ind w:left="1080"/>
        <w:rPr>
          <w:sz w:val="23"/>
          <w:szCs w:val="23"/>
        </w:rPr>
      </w:pPr>
    </w:p>
    <w:p w:rsidR="00151CAB" w:rsidRPr="00F540B5" w:rsidRDefault="00151CAB" w:rsidP="00F540B5">
      <w:pPr>
        <w:pStyle w:val="Paragraphedeliste1"/>
        <w:numPr>
          <w:ilvl w:val="0"/>
          <w:numId w:val="6"/>
        </w:numPr>
        <w:spacing w:line="276" w:lineRule="auto"/>
        <w:rPr>
          <w:b/>
          <w:sz w:val="23"/>
          <w:szCs w:val="23"/>
        </w:rPr>
      </w:pPr>
      <w:r w:rsidRPr="00F540B5">
        <w:rPr>
          <w:b/>
          <w:sz w:val="23"/>
          <w:szCs w:val="23"/>
        </w:rPr>
        <w:t xml:space="preserve">Y répondre </w:t>
      </w:r>
      <w:r w:rsidRPr="00F540B5">
        <w:rPr>
          <w:sz w:val="23"/>
          <w:szCs w:val="23"/>
        </w:rPr>
        <w:t xml:space="preserve">par jugement séparé </w:t>
      </w:r>
      <w:r w:rsidRPr="00F540B5">
        <w:rPr>
          <w:i/>
          <w:sz w:val="23"/>
          <w:szCs w:val="23"/>
        </w:rPr>
        <w:t xml:space="preserve">in </w:t>
      </w:r>
      <w:proofErr w:type="spellStart"/>
      <w:r w:rsidRPr="00F540B5">
        <w:rPr>
          <w:i/>
          <w:sz w:val="23"/>
          <w:szCs w:val="23"/>
        </w:rPr>
        <w:t>limine</w:t>
      </w:r>
      <w:proofErr w:type="spellEnd"/>
      <w:r w:rsidRPr="00F540B5">
        <w:rPr>
          <w:i/>
          <w:sz w:val="23"/>
          <w:szCs w:val="23"/>
        </w:rPr>
        <w:t xml:space="preserve"> </w:t>
      </w:r>
      <w:proofErr w:type="spellStart"/>
      <w:r w:rsidRPr="00F540B5">
        <w:rPr>
          <w:i/>
          <w:sz w:val="23"/>
          <w:szCs w:val="23"/>
        </w:rPr>
        <w:t>litis</w:t>
      </w:r>
      <w:proofErr w:type="spellEnd"/>
      <w:r w:rsidRPr="00F540B5">
        <w:rPr>
          <w:i/>
          <w:sz w:val="23"/>
          <w:szCs w:val="23"/>
        </w:rPr>
        <w:t> </w:t>
      </w:r>
      <w:r w:rsidRPr="00F540B5">
        <w:rPr>
          <w:sz w:val="23"/>
          <w:szCs w:val="23"/>
        </w:rPr>
        <w:t>;</w:t>
      </w:r>
    </w:p>
    <w:p w:rsidR="00304175" w:rsidRPr="00F540B5" w:rsidRDefault="00304175" w:rsidP="00F540B5">
      <w:pPr>
        <w:pStyle w:val="Paragraphedeliste1"/>
        <w:numPr>
          <w:ilvl w:val="0"/>
          <w:numId w:val="0"/>
        </w:numPr>
        <w:spacing w:line="276" w:lineRule="auto"/>
        <w:ind w:left="1080"/>
        <w:rPr>
          <w:sz w:val="23"/>
          <w:szCs w:val="23"/>
        </w:rPr>
      </w:pPr>
    </w:p>
    <w:p w:rsidR="00304175" w:rsidRPr="00F540B5" w:rsidRDefault="003171D1" w:rsidP="00F540B5">
      <w:pPr>
        <w:pStyle w:val="Paragraphedeliste1"/>
        <w:numPr>
          <w:ilvl w:val="0"/>
          <w:numId w:val="6"/>
        </w:numPr>
        <w:spacing w:line="276" w:lineRule="auto"/>
        <w:rPr>
          <w:sz w:val="23"/>
          <w:szCs w:val="23"/>
        </w:rPr>
      </w:pPr>
      <w:r w:rsidRPr="00F540B5">
        <w:rPr>
          <w:b/>
          <w:sz w:val="23"/>
          <w:szCs w:val="23"/>
        </w:rPr>
        <w:t>Constater</w:t>
      </w:r>
      <w:r w:rsidRPr="00F540B5">
        <w:rPr>
          <w:sz w:val="23"/>
          <w:szCs w:val="23"/>
        </w:rPr>
        <w:t xml:space="preserve"> que </w:t>
      </w:r>
      <w:r w:rsidR="00304175" w:rsidRPr="00F540B5">
        <w:rPr>
          <w:sz w:val="23"/>
          <w:szCs w:val="23"/>
        </w:rPr>
        <w:t xml:space="preserve">la notification des droits </w:t>
      </w:r>
      <w:r w:rsidR="00F540B5">
        <w:rPr>
          <w:sz w:val="23"/>
          <w:szCs w:val="23"/>
        </w:rPr>
        <w:t>du Concluant</w:t>
      </w:r>
      <w:r w:rsidR="00304175" w:rsidRPr="00F540B5">
        <w:rPr>
          <w:sz w:val="23"/>
          <w:szCs w:val="23"/>
        </w:rPr>
        <w:t xml:space="preserve"> est tardive ;</w:t>
      </w:r>
    </w:p>
    <w:p w:rsidR="00304175" w:rsidRPr="00F540B5" w:rsidRDefault="00304175" w:rsidP="00F540B5">
      <w:pPr>
        <w:pStyle w:val="Paragraphedeliste1"/>
        <w:numPr>
          <w:ilvl w:val="0"/>
          <w:numId w:val="0"/>
        </w:numPr>
        <w:spacing w:line="276" w:lineRule="auto"/>
        <w:ind w:left="1080"/>
        <w:rPr>
          <w:sz w:val="23"/>
          <w:szCs w:val="23"/>
        </w:rPr>
      </w:pPr>
    </w:p>
    <w:p w:rsidR="003171D1" w:rsidRPr="00F540B5" w:rsidRDefault="00304175" w:rsidP="00F540B5">
      <w:pPr>
        <w:pStyle w:val="Paragraphedeliste1"/>
        <w:numPr>
          <w:ilvl w:val="0"/>
          <w:numId w:val="6"/>
        </w:numPr>
        <w:spacing w:line="276" w:lineRule="auto"/>
        <w:rPr>
          <w:b/>
          <w:sz w:val="23"/>
          <w:szCs w:val="23"/>
        </w:rPr>
      </w:pPr>
      <w:r w:rsidRPr="00F540B5">
        <w:rPr>
          <w:b/>
          <w:sz w:val="23"/>
          <w:szCs w:val="23"/>
        </w:rPr>
        <w:t xml:space="preserve">Constater </w:t>
      </w:r>
      <w:r w:rsidRPr="00F540B5">
        <w:rPr>
          <w:sz w:val="23"/>
          <w:szCs w:val="23"/>
        </w:rPr>
        <w:t xml:space="preserve">que </w:t>
      </w:r>
      <w:r w:rsidR="005C3EAA" w:rsidRPr="00F540B5">
        <w:rPr>
          <w:sz w:val="23"/>
          <w:szCs w:val="23"/>
        </w:rPr>
        <w:t>l’avis à Magistrat est tardif ;</w:t>
      </w:r>
    </w:p>
    <w:p w:rsidR="00266404" w:rsidRPr="00F540B5" w:rsidRDefault="00266404" w:rsidP="00F540B5">
      <w:pPr>
        <w:pStyle w:val="Paragraphedeliste1"/>
        <w:numPr>
          <w:ilvl w:val="0"/>
          <w:numId w:val="0"/>
        </w:numPr>
        <w:spacing w:line="276" w:lineRule="auto"/>
        <w:ind w:left="1080"/>
        <w:rPr>
          <w:sz w:val="23"/>
          <w:szCs w:val="23"/>
        </w:rPr>
      </w:pPr>
    </w:p>
    <w:p w:rsidR="00266404" w:rsidRPr="00F540B5" w:rsidRDefault="005C3EAA" w:rsidP="00F540B5">
      <w:pPr>
        <w:pStyle w:val="Paragraphedeliste1"/>
        <w:numPr>
          <w:ilvl w:val="0"/>
          <w:numId w:val="6"/>
        </w:numPr>
        <w:spacing w:line="276" w:lineRule="auto"/>
        <w:rPr>
          <w:sz w:val="23"/>
          <w:szCs w:val="23"/>
        </w:rPr>
      </w:pPr>
      <w:r w:rsidRPr="00F540B5">
        <w:rPr>
          <w:b/>
          <w:sz w:val="23"/>
          <w:szCs w:val="23"/>
        </w:rPr>
        <w:t>Prononcer</w:t>
      </w:r>
      <w:r w:rsidR="00266404" w:rsidRPr="00F540B5">
        <w:rPr>
          <w:sz w:val="23"/>
          <w:szCs w:val="23"/>
        </w:rPr>
        <w:t xml:space="preserve"> la nullité de tous les actes de garde à vue réalisés à l’endroit de </w:t>
      </w:r>
      <w:r w:rsidR="00A774D8" w:rsidRPr="00F540B5">
        <w:rPr>
          <w:sz w:val="23"/>
          <w:szCs w:val="23"/>
        </w:rPr>
        <w:t xml:space="preserve"> </w:t>
      </w:r>
    </w:p>
    <w:p w:rsidR="00266404" w:rsidRPr="00F540B5" w:rsidRDefault="00266404" w:rsidP="00F540B5">
      <w:pPr>
        <w:pStyle w:val="Paragraphedeliste1"/>
        <w:numPr>
          <w:ilvl w:val="0"/>
          <w:numId w:val="0"/>
        </w:numPr>
        <w:spacing w:line="276" w:lineRule="auto"/>
        <w:ind w:left="720"/>
        <w:rPr>
          <w:sz w:val="23"/>
          <w:szCs w:val="23"/>
        </w:rPr>
      </w:pPr>
    </w:p>
    <w:p w:rsidR="003171D1" w:rsidRPr="00F540B5" w:rsidRDefault="003171D1" w:rsidP="00F540B5">
      <w:pPr>
        <w:pStyle w:val="Paragraphedeliste1"/>
        <w:numPr>
          <w:ilvl w:val="0"/>
          <w:numId w:val="0"/>
        </w:numPr>
        <w:spacing w:line="276" w:lineRule="auto"/>
        <w:ind w:left="720" w:hanging="360"/>
        <w:rPr>
          <w:sz w:val="23"/>
          <w:szCs w:val="23"/>
        </w:rPr>
      </w:pPr>
    </w:p>
    <w:p w:rsidR="00266404" w:rsidRPr="00F540B5" w:rsidRDefault="00266404" w:rsidP="00F540B5">
      <w:pPr>
        <w:pStyle w:val="Paragraphedeliste1"/>
        <w:numPr>
          <w:ilvl w:val="0"/>
          <w:numId w:val="0"/>
        </w:numPr>
        <w:spacing w:line="276" w:lineRule="auto"/>
        <w:ind w:left="720" w:hanging="360"/>
        <w:rPr>
          <w:sz w:val="23"/>
          <w:szCs w:val="23"/>
        </w:rPr>
      </w:pPr>
    </w:p>
    <w:p w:rsidR="00266404" w:rsidRPr="00F540B5" w:rsidRDefault="00266404" w:rsidP="00F540B5">
      <w:pPr>
        <w:pStyle w:val="Paragraphedeliste1"/>
        <w:numPr>
          <w:ilvl w:val="0"/>
          <w:numId w:val="0"/>
        </w:numPr>
        <w:spacing w:line="276" w:lineRule="auto"/>
        <w:ind w:left="720" w:hanging="360"/>
        <w:rPr>
          <w:sz w:val="23"/>
          <w:szCs w:val="23"/>
        </w:rPr>
      </w:pPr>
    </w:p>
    <w:p w:rsidR="00266404" w:rsidRPr="00F540B5" w:rsidRDefault="00266404" w:rsidP="00F540B5">
      <w:pPr>
        <w:pStyle w:val="Paragraphedeliste1"/>
        <w:numPr>
          <w:ilvl w:val="0"/>
          <w:numId w:val="0"/>
        </w:numPr>
        <w:spacing w:line="276" w:lineRule="auto"/>
        <w:ind w:left="720" w:hanging="360"/>
        <w:jc w:val="right"/>
        <w:rPr>
          <w:b/>
          <w:sz w:val="23"/>
          <w:szCs w:val="23"/>
        </w:rPr>
      </w:pPr>
      <w:r w:rsidRPr="00F540B5">
        <w:rPr>
          <w:b/>
          <w:sz w:val="23"/>
          <w:szCs w:val="23"/>
        </w:rPr>
        <w:t>Sous tous réserves</w:t>
      </w:r>
    </w:p>
    <w:sectPr w:rsidR="00266404" w:rsidRPr="00F540B5" w:rsidSect="00801C8E">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80C" w:rsidRDefault="0019480C" w:rsidP="00C55882">
      <w:pPr>
        <w:spacing w:after="0" w:line="240" w:lineRule="auto"/>
      </w:pPr>
      <w:r>
        <w:separator/>
      </w:r>
    </w:p>
  </w:endnote>
  <w:endnote w:type="continuationSeparator" w:id="0">
    <w:p w:rsidR="0019480C" w:rsidRDefault="0019480C" w:rsidP="00C5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484133895"/>
      <w:docPartObj>
        <w:docPartGallery w:val="Page Numbers (Bottom of Page)"/>
        <w:docPartUnique/>
      </w:docPartObj>
    </w:sdtPr>
    <w:sdtEndPr/>
    <w:sdtContent>
      <w:p w:rsidR="00A774D8" w:rsidRPr="00A774D8" w:rsidRDefault="00A774D8">
        <w:pPr>
          <w:pStyle w:val="Pieddepage"/>
          <w:jc w:val="center"/>
          <w:rPr>
            <w:rFonts w:ascii="Garamond" w:hAnsi="Garamond"/>
          </w:rPr>
        </w:pPr>
        <w:r w:rsidRPr="00A774D8">
          <w:rPr>
            <w:rFonts w:ascii="Garamond" w:hAnsi="Garamond"/>
          </w:rPr>
          <w:fldChar w:fldCharType="begin"/>
        </w:r>
        <w:r w:rsidRPr="00A774D8">
          <w:rPr>
            <w:rFonts w:ascii="Garamond" w:hAnsi="Garamond"/>
          </w:rPr>
          <w:instrText>PAGE   \* MERGEFORMAT</w:instrText>
        </w:r>
        <w:r w:rsidRPr="00A774D8">
          <w:rPr>
            <w:rFonts w:ascii="Garamond" w:hAnsi="Garamond"/>
          </w:rPr>
          <w:fldChar w:fldCharType="separate"/>
        </w:r>
        <w:r w:rsidR="002C32AF">
          <w:rPr>
            <w:rFonts w:ascii="Garamond" w:hAnsi="Garamond"/>
            <w:noProof/>
          </w:rPr>
          <w:t>1</w:t>
        </w:r>
        <w:r w:rsidRPr="00A774D8">
          <w:rPr>
            <w:rFonts w:ascii="Garamond" w:hAnsi="Garamond"/>
          </w:rPr>
          <w:fldChar w:fldCharType="end"/>
        </w:r>
      </w:p>
    </w:sdtContent>
  </w:sdt>
  <w:p w:rsidR="00266404" w:rsidRPr="00A774D8" w:rsidRDefault="00266404">
    <w:pPr>
      <w:pStyle w:val="Pieddepage"/>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80C" w:rsidRDefault="0019480C" w:rsidP="00C55882">
      <w:pPr>
        <w:spacing w:after="0" w:line="240" w:lineRule="auto"/>
      </w:pPr>
      <w:r>
        <w:separator/>
      </w:r>
    </w:p>
  </w:footnote>
  <w:footnote w:type="continuationSeparator" w:id="0">
    <w:p w:rsidR="0019480C" w:rsidRDefault="0019480C" w:rsidP="00C55882">
      <w:pPr>
        <w:spacing w:after="0" w:line="240" w:lineRule="auto"/>
      </w:pPr>
      <w:r>
        <w:continuationSeparator/>
      </w:r>
    </w:p>
  </w:footnote>
  <w:footnote w:id="1">
    <w:p w:rsidR="00830A28" w:rsidRPr="00830A28" w:rsidRDefault="00830A28">
      <w:pPr>
        <w:pStyle w:val="Notedebasdepage"/>
        <w:rPr>
          <w:rFonts w:ascii="Garamond" w:hAnsi="Garamond"/>
        </w:rPr>
      </w:pPr>
      <w:r w:rsidRPr="00830A28">
        <w:rPr>
          <w:rStyle w:val="Appelnotedebasdep"/>
          <w:rFonts w:ascii="Garamond" w:hAnsi="Garamond"/>
        </w:rPr>
        <w:footnoteRef/>
      </w:r>
      <w:r w:rsidRPr="00830A28">
        <w:rPr>
          <w:rFonts w:ascii="Garamond" w:hAnsi="Garamond"/>
        </w:rPr>
        <w:t xml:space="preserve"> </w:t>
      </w:r>
      <w:proofErr w:type="spellStart"/>
      <w:r w:rsidRPr="00830A28">
        <w:rPr>
          <w:rFonts w:ascii="Garamond" w:hAnsi="Garamond"/>
        </w:rPr>
        <w:t>Crim</w:t>
      </w:r>
      <w:proofErr w:type="spellEnd"/>
      <w:r w:rsidRPr="00830A28">
        <w:rPr>
          <w:rFonts w:ascii="Garamond" w:hAnsi="Garamond"/>
        </w:rPr>
        <w:t>. 2 mai 2002 : n° 01-88</w:t>
      </w:r>
      <w:r>
        <w:rPr>
          <w:rFonts w:ascii="Garamond" w:hAnsi="Garamond"/>
        </w:rPr>
        <w:t>.</w:t>
      </w:r>
      <w:r w:rsidRPr="00830A28">
        <w:rPr>
          <w:rFonts w:ascii="Garamond" w:hAnsi="Garamond"/>
        </w:rPr>
        <w:t>453.</w:t>
      </w:r>
      <w:r>
        <w:rPr>
          <w:rFonts w:ascii="Garamond" w:hAnsi="Garamond"/>
        </w:rPr>
        <w:t xml:space="preserve"> </w:t>
      </w:r>
      <w:proofErr w:type="spellStart"/>
      <w:r>
        <w:rPr>
          <w:rFonts w:ascii="Garamond" w:hAnsi="Garamond"/>
        </w:rPr>
        <w:t>A</w:t>
      </w:r>
      <w:proofErr w:type="spellEnd"/>
      <w:r>
        <w:rPr>
          <w:rFonts w:ascii="Garamond" w:hAnsi="Garamond"/>
        </w:rPr>
        <w:t xml:space="preserve"> noter que la Chambre criminelle a pu considérer une notification tardive lorsque celle-ci « </w:t>
      </w:r>
      <w:r w:rsidRPr="00830A28">
        <w:rPr>
          <w:rFonts w:ascii="Garamond" w:hAnsi="Garamond"/>
          <w:i/>
        </w:rPr>
        <w:t>n’est pas intervenue dès le début de la perquisition à son domicile, au moment où il a été effectivement placé en garde à vue</w:t>
      </w:r>
      <w:r>
        <w:rPr>
          <w:rFonts w:ascii="Garamond" w:hAnsi="Garamond"/>
        </w:rPr>
        <w:t> » (</w:t>
      </w:r>
      <w:proofErr w:type="spellStart"/>
      <w:r>
        <w:rPr>
          <w:rFonts w:ascii="Garamond" w:hAnsi="Garamond"/>
        </w:rPr>
        <w:t>Crim</w:t>
      </w:r>
      <w:proofErr w:type="spellEnd"/>
      <w:r>
        <w:rPr>
          <w:rFonts w:ascii="Garamond" w:hAnsi="Garamond"/>
        </w:rPr>
        <w:t xml:space="preserve">. 13 avril 1999 : n° 98-87873 ; </w:t>
      </w:r>
      <w:proofErr w:type="spellStart"/>
      <w:r>
        <w:rPr>
          <w:rFonts w:ascii="Garamond" w:hAnsi="Garamond"/>
        </w:rPr>
        <w:t>Crim</w:t>
      </w:r>
      <w:proofErr w:type="spellEnd"/>
      <w:r>
        <w:rPr>
          <w:rFonts w:ascii="Garamond" w:hAnsi="Garamond"/>
        </w:rPr>
        <w:t>. 14 décembre 1999 : Bull. n° 242).</w:t>
      </w:r>
    </w:p>
  </w:footnote>
  <w:footnote w:id="2">
    <w:p w:rsidR="00BA2E46" w:rsidRPr="00830A28" w:rsidRDefault="00BA2E46" w:rsidP="00BA2E46">
      <w:pPr>
        <w:pStyle w:val="Notedebasdepage"/>
        <w:rPr>
          <w:rFonts w:ascii="Garamond" w:hAnsi="Garamond"/>
        </w:rPr>
      </w:pPr>
      <w:r w:rsidRPr="00830A28">
        <w:rPr>
          <w:rStyle w:val="Appelnotedebasdep"/>
          <w:rFonts w:ascii="Garamond" w:hAnsi="Garamond"/>
        </w:rPr>
        <w:footnoteRef/>
      </w:r>
      <w:r w:rsidRPr="00830A28">
        <w:rPr>
          <w:rFonts w:ascii="Garamond" w:hAnsi="Garamond"/>
        </w:rPr>
        <w:t xml:space="preserve"> </w:t>
      </w:r>
      <w:proofErr w:type="spellStart"/>
      <w:r w:rsidRPr="00830A28">
        <w:rPr>
          <w:rFonts w:ascii="Garamond" w:hAnsi="Garamond"/>
        </w:rPr>
        <w:t>Crim</w:t>
      </w:r>
      <w:proofErr w:type="spellEnd"/>
      <w:r w:rsidRPr="00830A28">
        <w:rPr>
          <w:rFonts w:ascii="Garamond" w:hAnsi="Garamond"/>
        </w:rPr>
        <w:t>. 24 mai 2016</w:t>
      </w:r>
      <w:r w:rsidR="003546D2">
        <w:rPr>
          <w:rFonts w:ascii="Garamond" w:hAnsi="Garamond"/>
        </w:rPr>
        <w:t> :</w:t>
      </w:r>
      <w:r w:rsidRPr="00830A28">
        <w:rPr>
          <w:rFonts w:ascii="Garamond" w:hAnsi="Garamond"/>
        </w:rPr>
        <w:t xml:space="preserve"> </w:t>
      </w:r>
      <w:r w:rsidR="003546D2" w:rsidRPr="00830A28">
        <w:rPr>
          <w:rFonts w:ascii="Garamond" w:hAnsi="Garamond"/>
        </w:rPr>
        <w:t>Bull. n° 155</w:t>
      </w:r>
      <w:r w:rsidR="003546D2">
        <w:rPr>
          <w:rFonts w:ascii="Garamond" w:hAnsi="Garamond"/>
        </w:rPr>
        <w:t>.</w:t>
      </w:r>
    </w:p>
  </w:footnote>
  <w:footnote w:id="3">
    <w:p w:rsidR="00C55882" w:rsidRPr="00830A28" w:rsidRDefault="00C55882">
      <w:pPr>
        <w:pStyle w:val="Notedebasdepage"/>
        <w:rPr>
          <w:rFonts w:ascii="Garamond" w:hAnsi="Garamond"/>
        </w:rPr>
      </w:pPr>
      <w:r w:rsidRPr="00830A28">
        <w:rPr>
          <w:rStyle w:val="Appelnotedebasdep"/>
          <w:rFonts w:ascii="Garamond" w:hAnsi="Garamond"/>
        </w:rPr>
        <w:footnoteRef/>
      </w:r>
      <w:r w:rsidRPr="00830A28">
        <w:rPr>
          <w:rFonts w:ascii="Garamond" w:hAnsi="Garamond"/>
        </w:rPr>
        <w:t xml:space="preserve"> </w:t>
      </w:r>
      <w:proofErr w:type="spellStart"/>
      <w:r w:rsidRPr="00830A28">
        <w:rPr>
          <w:rFonts w:ascii="Garamond" w:hAnsi="Garamond"/>
        </w:rPr>
        <w:t>Crim</w:t>
      </w:r>
      <w:proofErr w:type="spellEnd"/>
      <w:r w:rsidRPr="00830A28">
        <w:rPr>
          <w:rFonts w:ascii="Garamond" w:hAnsi="Garamond"/>
        </w:rPr>
        <w:t>. 24 mai 2016 : Bull. n° 155.</w:t>
      </w:r>
    </w:p>
  </w:footnote>
  <w:footnote w:id="4">
    <w:p w:rsidR="00F1660C" w:rsidRPr="00A81244" w:rsidRDefault="00F1660C">
      <w:pPr>
        <w:pStyle w:val="Notedebasdepage"/>
        <w:rPr>
          <w:rFonts w:ascii="Garamond" w:hAnsi="Garamond"/>
        </w:rPr>
      </w:pPr>
      <w:r w:rsidRPr="00830A28">
        <w:rPr>
          <w:rStyle w:val="Appelnotedebasdep"/>
          <w:rFonts w:ascii="Garamond" w:hAnsi="Garamond"/>
        </w:rPr>
        <w:footnoteRef/>
      </w:r>
      <w:r w:rsidRPr="00830A28">
        <w:rPr>
          <w:rFonts w:ascii="Garamond" w:hAnsi="Garamond"/>
        </w:rPr>
        <w:t xml:space="preserve"> </w:t>
      </w:r>
      <w:proofErr w:type="spellStart"/>
      <w:r w:rsidRPr="00830A28">
        <w:rPr>
          <w:rFonts w:ascii="Garamond" w:hAnsi="Garamond"/>
        </w:rPr>
        <w:t>Crim</w:t>
      </w:r>
      <w:proofErr w:type="spellEnd"/>
      <w:r w:rsidRPr="00830A28">
        <w:rPr>
          <w:rFonts w:ascii="Garamond" w:hAnsi="Garamond"/>
        </w:rPr>
        <w:t>. 27 juin 2017 : n° 16-86354.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0EC1"/>
    <w:multiLevelType w:val="hybridMultilevel"/>
    <w:tmpl w:val="CD3620CA"/>
    <w:lvl w:ilvl="0" w:tplc="36D628C8">
      <w:start w:val="1"/>
      <w:numFmt w:val="decimal"/>
      <w:pStyle w:val="ParagrapheList"/>
      <w:lvlText w:val="%1."/>
      <w:lvlJc w:val="left"/>
      <w:pPr>
        <w:ind w:left="720" w:hanging="360"/>
      </w:pPr>
      <w:rPr>
        <w:rFonts w:ascii="Garamond" w:hAnsi="Garamond" w:hint="default"/>
        <w:b/>
        <w:i w:val="0"/>
        <w:sz w:val="18"/>
        <w:szCs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F12B8A"/>
    <w:multiLevelType w:val="hybridMultilevel"/>
    <w:tmpl w:val="10CEF89A"/>
    <w:lvl w:ilvl="0" w:tplc="3E827478">
      <w:start w:val="1"/>
      <w:numFmt w:val="decimal"/>
      <w:lvlText w:val="II.%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20DF4187"/>
    <w:multiLevelType w:val="hybridMultilevel"/>
    <w:tmpl w:val="7A6E6B2C"/>
    <w:lvl w:ilvl="0" w:tplc="E162FF5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C670C61"/>
    <w:multiLevelType w:val="hybridMultilevel"/>
    <w:tmpl w:val="0E760B66"/>
    <w:lvl w:ilvl="0" w:tplc="877069B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5B85C5B"/>
    <w:multiLevelType w:val="hybridMultilevel"/>
    <w:tmpl w:val="B1860A74"/>
    <w:lvl w:ilvl="0" w:tplc="1566682A">
      <w:start w:val="1"/>
      <w:numFmt w:val="upperRoman"/>
      <w:lvlText w:val="%1."/>
      <w:lvlJc w:val="left"/>
      <w:pPr>
        <w:ind w:left="1440" w:hanging="720"/>
      </w:pPr>
      <w:rPr>
        <w:rFonts w:hint="default"/>
      </w:rPr>
    </w:lvl>
    <w:lvl w:ilvl="1" w:tplc="3E827478">
      <w:start w:val="1"/>
      <w:numFmt w:val="decimal"/>
      <w:lvlText w:val="II.%2."/>
      <w:lvlJc w:val="left"/>
      <w:pPr>
        <w:ind w:left="180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B677553"/>
    <w:multiLevelType w:val="hybridMultilevel"/>
    <w:tmpl w:val="50E83532"/>
    <w:lvl w:ilvl="0" w:tplc="22AA3128">
      <w:start w:val="1"/>
      <w:numFmt w:val="bullet"/>
      <w:pStyle w:val="TiretList"/>
      <w:lvlText w:val=""/>
      <w:lvlJc w:val="left"/>
      <w:pPr>
        <w:ind w:left="1069"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0"/>
  </w:num>
  <w:num w:numId="5">
    <w:abstractNumId w:val="0"/>
  </w:num>
  <w:num w:numId="6">
    <w:abstractNumId w:val="3"/>
  </w:num>
  <w:num w:numId="7">
    <w:abstractNumId w:val="4"/>
  </w:num>
  <w:num w:numId="8">
    <w:abstractNumId w:val="1"/>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AB"/>
    <w:rsid w:val="00000B68"/>
    <w:rsid w:val="00042A33"/>
    <w:rsid w:val="000B0748"/>
    <w:rsid w:val="000C7E06"/>
    <w:rsid w:val="000E5881"/>
    <w:rsid w:val="001126B0"/>
    <w:rsid w:val="00151CAB"/>
    <w:rsid w:val="00180E17"/>
    <w:rsid w:val="00182413"/>
    <w:rsid w:val="0019480C"/>
    <w:rsid w:val="001949CB"/>
    <w:rsid w:val="001D426C"/>
    <w:rsid w:val="00205AB9"/>
    <w:rsid w:val="002136D8"/>
    <w:rsid w:val="0023078E"/>
    <w:rsid w:val="00266404"/>
    <w:rsid w:val="002B11DA"/>
    <w:rsid w:val="002C32AF"/>
    <w:rsid w:val="00304175"/>
    <w:rsid w:val="003171D1"/>
    <w:rsid w:val="003546D2"/>
    <w:rsid w:val="003A7614"/>
    <w:rsid w:val="00400B4E"/>
    <w:rsid w:val="00425058"/>
    <w:rsid w:val="00465CFF"/>
    <w:rsid w:val="004D67AF"/>
    <w:rsid w:val="00512974"/>
    <w:rsid w:val="0053785B"/>
    <w:rsid w:val="005C3EAA"/>
    <w:rsid w:val="00603A96"/>
    <w:rsid w:val="00603BDC"/>
    <w:rsid w:val="00653FB6"/>
    <w:rsid w:val="00654F07"/>
    <w:rsid w:val="00666D9B"/>
    <w:rsid w:val="006D6C1E"/>
    <w:rsid w:val="00701E8F"/>
    <w:rsid w:val="00801C8E"/>
    <w:rsid w:val="00830A28"/>
    <w:rsid w:val="008E4D5D"/>
    <w:rsid w:val="00972C50"/>
    <w:rsid w:val="00984325"/>
    <w:rsid w:val="00A33273"/>
    <w:rsid w:val="00A774D8"/>
    <w:rsid w:val="00A81244"/>
    <w:rsid w:val="00A96D3C"/>
    <w:rsid w:val="00AA70AB"/>
    <w:rsid w:val="00AB22F1"/>
    <w:rsid w:val="00AF58ED"/>
    <w:rsid w:val="00B53D4A"/>
    <w:rsid w:val="00BA2E46"/>
    <w:rsid w:val="00C13B53"/>
    <w:rsid w:val="00C1739E"/>
    <w:rsid w:val="00C4241B"/>
    <w:rsid w:val="00C45C86"/>
    <w:rsid w:val="00C55882"/>
    <w:rsid w:val="00C67AC8"/>
    <w:rsid w:val="00CD0550"/>
    <w:rsid w:val="00CD33F3"/>
    <w:rsid w:val="00D70FB4"/>
    <w:rsid w:val="00DD3D7E"/>
    <w:rsid w:val="00EA5497"/>
    <w:rsid w:val="00F1660C"/>
    <w:rsid w:val="00F25595"/>
    <w:rsid w:val="00F540B5"/>
    <w:rsid w:val="00F645EA"/>
    <w:rsid w:val="00F95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5374"/>
  <w15:chartTrackingRefBased/>
  <w15:docId w15:val="{DEC7F8A0-80F9-42DD-9270-D6401E9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7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AA70AB"/>
    <w:pPr>
      <w:spacing w:after="140" w:line="288" w:lineRule="auto"/>
      <w:jc w:val="both"/>
    </w:pPr>
    <w:rPr>
      <w:rFonts w:ascii="Arial" w:eastAsia="Times New Roman" w:hAnsi="Arial" w:cs="Times New Roman"/>
      <w:kern w:val="20"/>
      <w:sz w:val="20"/>
      <w:szCs w:val="24"/>
      <w:lang w:eastAsia="en-GB"/>
    </w:rPr>
  </w:style>
  <w:style w:type="character" w:customStyle="1" w:styleId="BodyChar">
    <w:name w:val="Body Char"/>
    <w:link w:val="Body"/>
    <w:locked/>
    <w:rsid w:val="00AA70AB"/>
    <w:rPr>
      <w:rFonts w:ascii="Arial" w:eastAsia="Times New Roman" w:hAnsi="Arial" w:cs="Times New Roman"/>
      <w:kern w:val="20"/>
      <w:sz w:val="20"/>
      <w:szCs w:val="24"/>
      <w:lang w:eastAsia="en-GB"/>
    </w:rPr>
  </w:style>
  <w:style w:type="paragraph" w:styleId="Paragraphedeliste">
    <w:name w:val="List Paragraph"/>
    <w:basedOn w:val="Normal"/>
    <w:link w:val="ParagraphedelisteCar"/>
    <w:uiPriority w:val="34"/>
    <w:qFormat/>
    <w:rsid w:val="00AA70AB"/>
    <w:pPr>
      <w:ind w:left="720"/>
      <w:contextualSpacing/>
    </w:pPr>
  </w:style>
  <w:style w:type="paragraph" w:customStyle="1" w:styleId="ParagrapheList">
    <w:name w:val="Paragraphe List"/>
    <w:basedOn w:val="Paragraphedeliste"/>
    <w:rsid w:val="00AA70AB"/>
    <w:pPr>
      <w:numPr>
        <w:numId w:val="1"/>
      </w:numPr>
      <w:jc w:val="both"/>
    </w:pPr>
    <w:rPr>
      <w:rFonts w:ascii="Garamond" w:hAnsi="Garamond"/>
    </w:rPr>
  </w:style>
  <w:style w:type="paragraph" w:customStyle="1" w:styleId="Paragraphenormal">
    <w:name w:val="Paragraphe normal"/>
    <w:basedOn w:val="Paragraphedeliste"/>
    <w:link w:val="ParagraphenormalCar"/>
    <w:qFormat/>
    <w:rsid w:val="00AA70AB"/>
    <w:pPr>
      <w:jc w:val="both"/>
    </w:pPr>
    <w:rPr>
      <w:rFonts w:ascii="Garamond" w:hAnsi="Garamond"/>
    </w:rPr>
  </w:style>
  <w:style w:type="character" w:customStyle="1" w:styleId="ParagraphedelisteCar">
    <w:name w:val="Paragraphe de liste Car"/>
    <w:basedOn w:val="Policepardfaut"/>
    <w:link w:val="Paragraphedeliste"/>
    <w:uiPriority w:val="34"/>
    <w:rsid w:val="00AA70AB"/>
  </w:style>
  <w:style w:type="paragraph" w:customStyle="1" w:styleId="TiretList">
    <w:name w:val="Tiret List"/>
    <w:basedOn w:val="Paragraphedeliste"/>
    <w:link w:val="TiretListCar"/>
    <w:qFormat/>
    <w:rsid w:val="00AA70AB"/>
    <w:pPr>
      <w:numPr>
        <w:numId w:val="2"/>
      </w:numPr>
      <w:jc w:val="both"/>
    </w:pPr>
    <w:rPr>
      <w:rFonts w:ascii="Garamond" w:hAnsi="Garamond"/>
    </w:rPr>
  </w:style>
  <w:style w:type="character" w:customStyle="1" w:styleId="ParagraphenormalCar">
    <w:name w:val="Paragraphe normal Car"/>
    <w:basedOn w:val="ParagraphedelisteCar"/>
    <w:link w:val="Paragraphenormal"/>
    <w:rsid w:val="00AA70AB"/>
    <w:rPr>
      <w:rFonts w:ascii="Garamond" w:hAnsi="Garamond"/>
    </w:rPr>
  </w:style>
  <w:style w:type="paragraph" w:customStyle="1" w:styleId="Paragraphedeliste1">
    <w:name w:val="Paragraphe de liste1"/>
    <w:basedOn w:val="ParagrapheList"/>
    <w:link w:val="ListParagraphCar"/>
    <w:qFormat/>
    <w:rsid w:val="00AA70AB"/>
  </w:style>
  <w:style w:type="character" w:customStyle="1" w:styleId="TiretListCar">
    <w:name w:val="Tiret List Car"/>
    <w:basedOn w:val="ParagraphedelisteCar"/>
    <w:link w:val="TiretList"/>
    <w:rsid w:val="00AA70AB"/>
    <w:rPr>
      <w:rFonts w:ascii="Garamond" w:hAnsi="Garamond"/>
    </w:rPr>
  </w:style>
  <w:style w:type="character" w:customStyle="1" w:styleId="ListParagraphCar">
    <w:name w:val="List Paragraph Car"/>
    <w:basedOn w:val="Policepardfaut"/>
    <w:link w:val="Paragraphedeliste1"/>
    <w:rsid w:val="00AA70AB"/>
    <w:rPr>
      <w:rFonts w:ascii="Garamond" w:hAnsi="Garamond"/>
    </w:rPr>
  </w:style>
  <w:style w:type="paragraph" w:styleId="Notedebasdepage">
    <w:name w:val="footnote text"/>
    <w:basedOn w:val="Normal"/>
    <w:link w:val="NotedebasdepageCar"/>
    <w:uiPriority w:val="99"/>
    <w:semiHidden/>
    <w:unhideWhenUsed/>
    <w:rsid w:val="00C558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5882"/>
    <w:rPr>
      <w:sz w:val="20"/>
      <w:szCs w:val="20"/>
    </w:rPr>
  </w:style>
  <w:style w:type="character" w:styleId="Appelnotedebasdep">
    <w:name w:val="footnote reference"/>
    <w:basedOn w:val="Policepardfaut"/>
    <w:uiPriority w:val="99"/>
    <w:semiHidden/>
    <w:unhideWhenUsed/>
    <w:rsid w:val="00C55882"/>
    <w:rPr>
      <w:vertAlign w:val="superscript"/>
    </w:rPr>
  </w:style>
  <w:style w:type="paragraph" w:styleId="En-tte">
    <w:name w:val="header"/>
    <w:basedOn w:val="Normal"/>
    <w:link w:val="En-tteCar"/>
    <w:uiPriority w:val="99"/>
    <w:unhideWhenUsed/>
    <w:rsid w:val="00266404"/>
    <w:pPr>
      <w:tabs>
        <w:tab w:val="center" w:pos="4536"/>
        <w:tab w:val="right" w:pos="9072"/>
      </w:tabs>
      <w:spacing w:after="0" w:line="240" w:lineRule="auto"/>
    </w:pPr>
  </w:style>
  <w:style w:type="character" w:customStyle="1" w:styleId="En-tteCar">
    <w:name w:val="En-tête Car"/>
    <w:basedOn w:val="Policepardfaut"/>
    <w:link w:val="En-tte"/>
    <w:uiPriority w:val="99"/>
    <w:rsid w:val="00266404"/>
  </w:style>
  <w:style w:type="paragraph" w:styleId="Pieddepage">
    <w:name w:val="footer"/>
    <w:basedOn w:val="Normal"/>
    <w:link w:val="PieddepageCar"/>
    <w:uiPriority w:val="99"/>
    <w:unhideWhenUsed/>
    <w:rsid w:val="002664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404"/>
  </w:style>
  <w:style w:type="paragraph" w:styleId="Sansinterligne">
    <w:name w:val="No Spacing"/>
    <w:link w:val="SansinterligneCar"/>
    <w:uiPriority w:val="1"/>
    <w:qFormat/>
    <w:rsid w:val="00801C8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01C8E"/>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380628">
      <w:bodyDiv w:val="1"/>
      <w:marLeft w:val="0"/>
      <w:marRight w:val="0"/>
      <w:marTop w:val="0"/>
      <w:marBottom w:val="0"/>
      <w:divBdr>
        <w:top w:val="none" w:sz="0" w:space="0" w:color="auto"/>
        <w:left w:val="none" w:sz="0" w:space="0" w:color="auto"/>
        <w:bottom w:val="none" w:sz="0" w:space="0" w:color="auto"/>
        <w:right w:val="none" w:sz="0" w:space="0" w:color="auto"/>
      </w:divBdr>
    </w:div>
    <w:div w:id="191812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1275</Words>
  <Characters>7014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Bougartchev Moyne &amp; Associés</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HAERI</dc:creator>
  <cp:keywords/>
  <dc:description/>
  <cp:lastModifiedBy>Nima HAERI</cp:lastModifiedBy>
  <cp:revision>26</cp:revision>
  <dcterms:created xsi:type="dcterms:W3CDTF">2018-10-21T11:54:00Z</dcterms:created>
  <dcterms:modified xsi:type="dcterms:W3CDTF">2018-12-19T15:03:00Z</dcterms:modified>
</cp:coreProperties>
</file>