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A70AB" w:rsidRPr="00830A28" w:rsidTr="006668B6">
        <w:tc>
          <w:tcPr>
            <w:tcW w:w="4531" w:type="dxa"/>
          </w:tcPr>
          <w:p w:rsidR="00AA70AB" w:rsidRPr="00830A28" w:rsidRDefault="00AA70AB" w:rsidP="006668B6">
            <w:pPr>
              <w:rPr>
                <w:rFonts w:ascii="Garamond" w:hAnsi="Garamond"/>
              </w:rPr>
            </w:pPr>
            <w:bookmarkStart w:id="0" w:name="_GoBack"/>
            <w:bookmarkEnd w:id="0"/>
            <w:r w:rsidRPr="00830A28">
              <w:rPr>
                <w:rFonts w:ascii="Garamond" w:hAnsi="Garamond"/>
              </w:rPr>
              <w:t xml:space="preserve">N° du Parquet : </w:t>
            </w:r>
          </w:p>
          <w:p w:rsidR="00AA70AB" w:rsidRPr="00830A28" w:rsidRDefault="00AA70AB" w:rsidP="00951DE4">
            <w:pPr>
              <w:rPr>
                <w:rFonts w:ascii="Garamond" w:hAnsi="Garamond"/>
              </w:rPr>
            </w:pPr>
            <w:r w:rsidRPr="00830A28">
              <w:rPr>
                <w:rFonts w:ascii="Garamond" w:hAnsi="Garamond"/>
              </w:rPr>
              <w:t xml:space="preserve">Audience du </w:t>
            </w:r>
          </w:p>
        </w:tc>
        <w:tc>
          <w:tcPr>
            <w:tcW w:w="4531" w:type="dxa"/>
          </w:tcPr>
          <w:p w:rsidR="00AA70AB" w:rsidRPr="00830A28" w:rsidRDefault="00C800FD" w:rsidP="00A774D8">
            <w:pPr>
              <w:jc w:val="right"/>
              <w:rPr>
                <w:rFonts w:ascii="Garamond" w:hAnsi="Garamond"/>
              </w:rPr>
            </w:pPr>
            <w:r w:rsidRPr="00830A28">
              <w:rPr>
                <w:rFonts w:ascii="Garamond" w:hAnsi="Garamond"/>
              </w:rPr>
              <w:t>À</w:t>
            </w:r>
            <w:r w:rsidR="00AA70AB" w:rsidRPr="00830A28">
              <w:rPr>
                <w:rFonts w:ascii="Garamond" w:hAnsi="Garamond"/>
              </w:rPr>
              <w:t xml:space="preserve"> Madame et Messieurs les </w:t>
            </w:r>
            <w:r w:rsidR="00AA70AB" w:rsidRPr="00830A28">
              <w:rPr>
                <w:rFonts w:ascii="Garamond" w:hAnsi="Garamond"/>
              </w:rPr>
              <w:br/>
              <w:t xml:space="preserve">Président et Assesseurs composant </w:t>
            </w:r>
            <w:r w:rsidR="00AA70AB" w:rsidRPr="00830A28">
              <w:rPr>
                <w:rFonts w:ascii="Garamond" w:hAnsi="Garamond"/>
              </w:rPr>
              <w:br/>
              <w:t>la 23</w:t>
            </w:r>
            <w:r w:rsidR="00AA70AB" w:rsidRPr="00830A28">
              <w:rPr>
                <w:rFonts w:ascii="Garamond" w:hAnsi="Garamond"/>
                <w:vertAlign w:val="superscript"/>
              </w:rPr>
              <w:t>e</w:t>
            </w:r>
            <w:r w:rsidR="00AA70AB" w:rsidRPr="00830A28">
              <w:rPr>
                <w:rFonts w:ascii="Garamond" w:hAnsi="Garamond"/>
              </w:rPr>
              <w:t xml:space="preserve"> Chambre correctionnelle </w:t>
            </w:r>
            <w:r w:rsidR="00AA70AB" w:rsidRPr="00830A28">
              <w:rPr>
                <w:rFonts w:ascii="Garamond" w:hAnsi="Garamond"/>
              </w:rPr>
              <w:br/>
              <w:t>du Tribunal de grande instance de Paris</w:t>
            </w:r>
          </w:p>
        </w:tc>
      </w:tr>
    </w:tbl>
    <w:p w:rsidR="00AA70AB" w:rsidRPr="00830A28" w:rsidRDefault="00AA70AB" w:rsidP="00AA70AB">
      <w:pPr>
        <w:rPr>
          <w:rFonts w:ascii="Garamond" w:hAnsi="Garamond"/>
        </w:rPr>
      </w:pPr>
    </w:p>
    <w:p w:rsidR="00AA70AB" w:rsidRPr="00830A28" w:rsidRDefault="00AA70AB" w:rsidP="00AA70AB">
      <w:pPr>
        <w:rPr>
          <w:rFonts w:ascii="Garamond" w:hAnsi="Garamond"/>
        </w:rPr>
      </w:pPr>
    </w:p>
    <w:p w:rsidR="00AA70AB" w:rsidRPr="00830A28" w:rsidRDefault="00AA70AB" w:rsidP="00AA70AB">
      <w:pPr>
        <w:rPr>
          <w:rFonts w:ascii="Garamond" w:hAnsi="Garamond"/>
        </w:rPr>
      </w:pPr>
    </w:p>
    <w:p w:rsidR="00AA70AB" w:rsidRPr="00830A28" w:rsidRDefault="00AA70AB" w:rsidP="00AA70AB">
      <w:pPr>
        <w:jc w:val="center"/>
        <w:rPr>
          <w:rFonts w:ascii="Garamond" w:hAnsi="Garamond"/>
          <w:b/>
          <w:smallCaps/>
          <w:sz w:val="32"/>
          <w:szCs w:val="32"/>
        </w:rPr>
      </w:pPr>
      <w:r w:rsidRPr="00830A28">
        <w:rPr>
          <w:rFonts w:ascii="Garamond" w:hAnsi="Garamond"/>
          <w:b/>
          <w:smallCaps/>
          <w:sz w:val="32"/>
          <w:szCs w:val="32"/>
        </w:rPr>
        <w:t>Conclusions in limine litis</w:t>
      </w:r>
    </w:p>
    <w:p w:rsidR="00AA70AB" w:rsidRPr="00830A28" w:rsidRDefault="00AA70AB" w:rsidP="00AA70AB">
      <w:pPr>
        <w:rPr>
          <w:rFonts w:ascii="Garamond" w:hAnsi="Garamond"/>
        </w:rPr>
      </w:pPr>
    </w:p>
    <w:p w:rsidR="00AA70AB" w:rsidRPr="00830A28" w:rsidRDefault="00AA70AB" w:rsidP="00AA70AB">
      <w:pPr>
        <w:pStyle w:val="Body"/>
        <w:tabs>
          <w:tab w:val="left" w:pos="1260"/>
        </w:tabs>
        <w:ind w:left="1134" w:hanging="1134"/>
        <w:rPr>
          <w:rFonts w:ascii="Garamond" w:hAnsi="Garamond"/>
          <w:sz w:val="22"/>
          <w:szCs w:val="22"/>
        </w:rPr>
      </w:pPr>
      <w:r w:rsidRPr="00830A28">
        <w:rPr>
          <w:rFonts w:ascii="Garamond" w:hAnsi="Garamond"/>
          <w:b/>
          <w:sz w:val="22"/>
          <w:szCs w:val="22"/>
          <w:u w:val="single"/>
        </w:rPr>
        <w:t>POUR</w:t>
      </w:r>
      <w:r w:rsidRPr="00830A28">
        <w:rPr>
          <w:rFonts w:ascii="Garamond" w:hAnsi="Garamond"/>
          <w:b/>
          <w:sz w:val="22"/>
          <w:szCs w:val="22"/>
        </w:rPr>
        <w:t> :</w:t>
      </w:r>
      <w:r w:rsidRPr="00830A28">
        <w:rPr>
          <w:rFonts w:ascii="Garamond" w:hAnsi="Garamond"/>
          <w:sz w:val="22"/>
          <w:szCs w:val="22"/>
        </w:rPr>
        <w:t xml:space="preserve"> </w:t>
      </w:r>
      <w:r w:rsidRPr="00830A28">
        <w:rPr>
          <w:rFonts w:ascii="Garamond" w:hAnsi="Garamond"/>
          <w:sz w:val="22"/>
          <w:szCs w:val="22"/>
        </w:rPr>
        <w:tab/>
      </w:r>
      <w:r w:rsidR="00801C8E" w:rsidRPr="00830A28">
        <w:rPr>
          <w:rFonts w:ascii="Garamond" w:hAnsi="Garamond"/>
          <w:b/>
          <w:sz w:val="22"/>
          <w:szCs w:val="22"/>
        </w:rPr>
        <w:t xml:space="preserve">                                  </w:t>
      </w:r>
      <w:r w:rsidRPr="00830A28">
        <w:rPr>
          <w:rFonts w:ascii="Garamond" w:hAnsi="Garamond"/>
          <w:sz w:val="22"/>
          <w:szCs w:val="22"/>
        </w:rPr>
        <w:t>, né</w:t>
      </w:r>
      <w:r w:rsidR="00801C8E" w:rsidRPr="00830A28">
        <w:rPr>
          <w:rFonts w:ascii="Garamond" w:hAnsi="Garamond"/>
          <w:sz w:val="22"/>
          <w:szCs w:val="22"/>
        </w:rPr>
        <w:t xml:space="preserve">  </w:t>
      </w:r>
      <w:r w:rsidRPr="00830A28">
        <w:rPr>
          <w:rFonts w:ascii="Garamond" w:hAnsi="Garamond"/>
          <w:sz w:val="22"/>
          <w:szCs w:val="22"/>
        </w:rPr>
        <w:t xml:space="preserve">le </w:t>
      </w:r>
      <w:r w:rsidR="00801C8E" w:rsidRPr="00830A28">
        <w:rPr>
          <w:rFonts w:ascii="Garamond" w:hAnsi="Garamond"/>
          <w:sz w:val="22"/>
          <w:szCs w:val="22"/>
        </w:rPr>
        <w:t xml:space="preserve">                          </w:t>
      </w:r>
      <w:r w:rsidRPr="00830A28">
        <w:rPr>
          <w:rFonts w:ascii="Garamond" w:hAnsi="Garamond"/>
          <w:sz w:val="22"/>
          <w:szCs w:val="22"/>
        </w:rPr>
        <w:t xml:space="preserve">à </w:t>
      </w:r>
      <w:r w:rsidR="00801C8E" w:rsidRPr="00830A28">
        <w:rPr>
          <w:rFonts w:ascii="Garamond" w:hAnsi="Garamond"/>
          <w:sz w:val="22"/>
          <w:szCs w:val="22"/>
        </w:rPr>
        <w:t xml:space="preserve">                              </w:t>
      </w:r>
    </w:p>
    <w:p w:rsidR="00AA70AB" w:rsidRPr="00830A28" w:rsidRDefault="00AA70AB" w:rsidP="00AA70AB">
      <w:pPr>
        <w:pStyle w:val="Body"/>
        <w:tabs>
          <w:tab w:val="left" w:pos="1134"/>
        </w:tabs>
        <w:ind w:left="1134" w:hanging="1260"/>
        <w:rPr>
          <w:rFonts w:ascii="Garamond" w:hAnsi="Garamond"/>
          <w:sz w:val="22"/>
          <w:szCs w:val="22"/>
        </w:rPr>
      </w:pPr>
      <w:r w:rsidRPr="00830A28">
        <w:rPr>
          <w:rFonts w:ascii="Garamond" w:hAnsi="Garamond"/>
          <w:sz w:val="22"/>
          <w:szCs w:val="22"/>
        </w:rPr>
        <w:tab/>
      </w:r>
    </w:p>
    <w:p w:rsidR="00AA70AB" w:rsidRPr="00830A28" w:rsidRDefault="00AA70AB" w:rsidP="00AA70AB">
      <w:pPr>
        <w:pStyle w:val="Body"/>
        <w:tabs>
          <w:tab w:val="left" w:pos="1134"/>
        </w:tabs>
        <w:ind w:left="1134" w:hanging="1260"/>
        <w:rPr>
          <w:rFonts w:ascii="Garamond" w:hAnsi="Garamond"/>
          <w:sz w:val="22"/>
          <w:szCs w:val="22"/>
        </w:rPr>
      </w:pPr>
    </w:p>
    <w:p w:rsidR="00AA70AB" w:rsidRPr="00830A28" w:rsidRDefault="00AA70AB" w:rsidP="00AA70AB">
      <w:pPr>
        <w:pStyle w:val="Body"/>
        <w:tabs>
          <w:tab w:val="left" w:pos="1134"/>
        </w:tabs>
        <w:ind w:left="1968" w:hanging="1260"/>
        <w:jc w:val="right"/>
        <w:rPr>
          <w:rFonts w:ascii="Garamond" w:hAnsi="Garamond"/>
          <w:sz w:val="22"/>
          <w:szCs w:val="22"/>
        </w:rPr>
      </w:pPr>
      <w:r w:rsidRPr="00830A28">
        <w:rPr>
          <w:rFonts w:ascii="Garamond" w:hAnsi="Garamond"/>
          <w:sz w:val="22"/>
          <w:szCs w:val="22"/>
        </w:rPr>
        <w:tab/>
      </w:r>
    </w:p>
    <w:p w:rsidR="00AA70AB" w:rsidRPr="00830A28" w:rsidRDefault="00AA70AB" w:rsidP="00AA70AB">
      <w:pPr>
        <w:pStyle w:val="Body"/>
        <w:tabs>
          <w:tab w:val="left" w:pos="1134"/>
        </w:tabs>
        <w:ind w:left="1968" w:hanging="1260"/>
        <w:jc w:val="right"/>
        <w:rPr>
          <w:rFonts w:ascii="Garamond" w:hAnsi="Garamond"/>
          <w:sz w:val="22"/>
          <w:szCs w:val="22"/>
        </w:rPr>
      </w:pPr>
    </w:p>
    <w:p w:rsidR="00AA70AB" w:rsidRPr="00830A28" w:rsidRDefault="00AA70AB" w:rsidP="00AA70AB">
      <w:pPr>
        <w:pStyle w:val="Body"/>
        <w:tabs>
          <w:tab w:val="left" w:pos="1134"/>
        </w:tabs>
        <w:ind w:left="1968" w:hanging="1260"/>
        <w:jc w:val="right"/>
        <w:rPr>
          <w:rFonts w:ascii="Garamond" w:hAnsi="Garamond"/>
          <w:sz w:val="22"/>
          <w:szCs w:val="22"/>
        </w:rPr>
      </w:pPr>
      <w:r w:rsidRPr="00830A28">
        <w:rPr>
          <w:rFonts w:ascii="Garamond" w:hAnsi="Garamond"/>
          <w:sz w:val="22"/>
          <w:szCs w:val="22"/>
        </w:rPr>
        <w:t>Ci-après, le « </w:t>
      </w:r>
      <w:r w:rsidRPr="00830A28">
        <w:rPr>
          <w:rFonts w:ascii="Garamond" w:hAnsi="Garamond"/>
          <w:b/>
          <w:sz w:val="22"/>
          <w:szCs w:val="22"/>
        </w:rPr>
        <w:t>Concluant</w:t>
      </w:r>
      <w:r w:rsidRPr="00830A28">
        <w:rPr>
          <w:rFonts w:ascii="Garamond" w:hAnsi="Garamond"/>
          <w:sz w:val="22"/>
          <w:szCs w:val="22"/>
        </w:rPr>
        <w:t> »,</w:t>
      </w:r>
    </w:p>
    <w:p w:rsidR="00AA70AB" w:rsidRPr="00830A28" w:rsidRDefault="00AA70AB" w:rsidP="00AA70AB">
      <w:pPr>
        <w:pStyle w:val="Body"/>
        <w:tabs>
          <w:tab w:val="left" w:pos="1134"/>
        </w:tabs>
        <w:ind w:left="1134" w:hanging="1260"/>
        <w:rPr>
          <w:rFonts w:ascii="Garamond" w:hAnsi="Garamond"/>
          <w:i/>
          <w:sz w:val="22"/>
          <w:szCs w:val="22"/>
        </w:rPr>
      </w:pPr>
      <w:r w:rsidRPr="00830A28">
        <w:rPr>
          <w:rFonts w:ascii="Garamond" w:hAnsi="Garamond"/>
          <w:sz w:val="22"/>
          <w:szCs w:val="22"/>
        </w:rPr>
        <w:tab/>
      </w:r>
    </w:p>
    <w:p w:rsidR="00AA70AB" w:rsidRPr="00830A28" w:rsidRDefault="00AA70AB" w:rsidP="00AA70AB">
      <w:pPr>
        <w:pStyle w:val="Body"/>
        <w:tabs>
          <w:tab w:val="left" w:pos="1260"/>
        </w:tabs>
        <w:spacing w:after="0"/>
        <w:ind w:left="3958"/>
        <w:rPr>
          <w:rFonts w:ascii="Garamond" w:hAnsi="Garamond"/>
          <w:b/>
          <w:sz w:val="22"/>
          <w:szCs w:val="22"/>
        </w:rPr>
      </w:pPr>
      <w:r w:rsidRPr="00830A28">
        <w:rPr>
          <w:rFonts w:ascii="Garamond" w:hAnsi="Garamond"/>
          <w:b/>
          <w:sz w:val="22"/>
          <w:szCs w:val="22"/>
          <w:u w:val="single"/>
        </w:rPr>
        <w:t>Ayant pour Avocat</w:t>
      </w:r>
      <w:r w:rsidRPr="00830A28">
        <w:rPr>
          <w:rFonts w:ascii="Garamond" w:hAnsi="Garamond"/>
          <w:b/>
          <w:sz w:val="22"/>
          <w:szCs w:val="22"/>
        </w:rPr>
        <w:t> :</w:t>
      </w:r>
    </w:p>
    <w:p w:rsidR="00AA70AB" w:rsidRPr="00830A28" w:rsidRDefault="00AA70AB" w:rsidP="00AA70AB">
      <w:pPr>
        <w:pStyle w:val="Body"/>
        <w:tabs>
          <w:tab w:val="left" w:pos="1260"/>
        </w:tabs>
        <w:spacing w:after="0"/>
        <w:ind w:left="3958"/>
        <w:rPr>
          <w:rFonts w:ascii="Garamond" w:hAnsi="Garamond"/>
          <w:b/>
          <w:sz w:val="22"/>
          <w:szCs w:val="22"/>
        </w:rPr>
      </w:pPr>
    </w:p>
    <w:p w:rsidR="00AA70AB" w:rsidRPr="00830A28" w:rsidRDefault="00AA70AB" w:rsidP="00AA70AB">
      <w:pPr>
        <w:pStyle w:val="Body"/>
        <w:tabs>
          <w:tab w:val="left" w:pos="1260"/>
        </w:tabs>
        <w:spacing w:after="0"/>
        <w:ind w:left="3958"/>
        <w:rPr>
          <w:rFonts w:ascii="Garamond" w:hAnsi="Garamond"/>
          <w:b/>
          <w:sz w:val="22"/>
          <w:szCs w:val="22"/>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rPr>
      </w:pPr>
      <w:r w:rsidRPr="00830A28">
        <w:rPr>
          <w:rFonts w:ascii="Garamond" w:hAnsi="Garamond"/>
          <w:b/>
          <w:sz w:val="22"/>
          <w:szCs w:val="22"/>
          <w:u w:val="single"/>
        </w:rPr>
        <w:t>CONTRE</w:t>
      </w:r>
      <w:r w:rsidRPr="00830A28">
        <w:rPr>
          <w:rFonts w:ascii="Garamond" w:hAnsi="Garamond"/>
          <w:b/>
          <w:sz w:val="22"/>
          <w:szCs w:val="22"/>
        </w:rPr>
        <w:t> :</w:t>
      </w:r>
      <w:r w:rsidRPr="00830A28">
        <w:rPr>
          <w:rFonts w:ascii="Garamond" w:hAnsi="Garamond"/>
          <w:sz w:val="22"/>
          <w:szCs w:val="22"/>
        </w:rPr>
        <w:t xml:space="preserve"> </w:t>
      </w:r>
      <w:r w:rsidRPr="00830A28">
        <w:rPr>
          <w:rFonts w:ascii="Garamond" w:hAnsi="Garamond"/>
          <w:sz w:val="22"/>
          <w:szCs w:val="22"/>
        </w:rPr>
        <w:tab/>
      </w:r>
      <w:r w:rsidRPr="00830A28">
        <w:rPr>
          <w:rFonts w:ascii="Garamond" w:hAnsi="Garamond"/>
          <w:b/>
          <w:bCs/>
          <w:sz w:val="22"/>
          <w:szCs w:val="22"/>
        </w:rPr>
        <w:t>le Ministère public</w:t>
      </w:r>
      <w:r w:rsidRPr="00830A28">
        <w:rPr>
          <w:rFonts w:ascii="Garamond" w:hAnsi="Garamond"/>
          <w:b/>
          <w:sz w:val="22"/>
          <w:szCs w:val="22"/>
        </w:rPr>
        <w:t xml:space="preserve"> </w:t>
      </w:r>
      <w:r w:rsidRPr="00830A28">
        <w:rPr>
          <w:rFonts w:ascii="Garamond" w:hAnsi="Garamond"/>
        </w:rPr>
        <w:br w:type="page"/>
      </w:r>
    </w:p>
    <w:p w:rsidR="00AA70AB" w:rsidRPr="00830A28" w:rsidRDefault="00AA70AB" w:rsidP="00AA70AB">
      <w:pPr>
        <w:jc w:val="center"/>
        <w:rPr>
          <w:rFonts w:ascii="Garamond" w:hAnsi="Garamond"/>
          <w:b/>
          <w:smallCaps/>
          <w:sz w:val="28"/>
          <w:szCs w:val="28"/>
        </w:rPr>
      </w:pPr>
      <w:r w:rsidRPr="00830A28">
        <w:rPr>
          <w:rFonts w:ascii="Garamond" w:hAnsi="Garamond"/>
          <w:b/>
          <w:smallCaps/>
          <w:sz w:val="28"/>
          <w:szCs w:val="28"/>
        </w:rPr>
        <w:lastRenderedPageBreak/>
        <w:t xml:space="preserve">Plaise </w:t>
      </w:r>
      <w:r w:rsidR="00654F07">
        <w:rPr>
          <w:rFonts w:ascii="Garamond" w:hAnsi="Garamond"/>
          <w:b/>
          <w:smallCaps/>
          <w:sz w:val="28"/>
          <w:szCs w:val="28"/>
        </w:rPr>
        <w:t>a</w:t>
      </w:r>
      <w:r w:rsidRPr="00830A28">
        <w:rPr>
          <w:rFonts w:ascii="Garamond" w:hAnsi="Garamond"/>
          <w:b/>
          <w:smallCaps/>
          <w:sz w:val="28"/>
          <w:szCs w:val="28"/>
        </w:rPr>
        <w:t xml:space="preserve">u Tribunal </w:t>
      </w:r>
    </w:p>
    <w:p w:rsidR="00AA70AB" w:rsidRPr="00830A28" w:rsidRDefault="00AA70AB" w:rsidP="00AA70AB">
      <w:pPr>
        <w:rPr>
          <w:rFonts w:ascii="Garamond" w:hAnsi="Garamond"/>
        </w:rPr>
      </w:pPr>
    </w:p>
    <w:p w:rsidR="00AA70AB" w:rsidRPr="0087738A" w:rsidRDefault="0087738A" w:rsidP="003406F2">
      <w:pPr>
        <w:pStyle w:val="Paragraphedeliste1"/>
        <w:spacing w:line="276" w:lineRule="auto"/>
        <w:rPr>
          <w:sz w:val="23"/>
          <w:szCs w:val="23"/>
        </w:rPr>
      </w:pPr>
      <w:r w:rsidRPr="0087738A">
        <w:rPr>
          <w:sz w:val="23"/>
          <w:szCs w:val="23"/>
        </w:rPr>
        <w:t>Le Concluant</w:t>
      </w:r>
      <w:r w:rsidR="00AA70AB" w:rsidRPr="0087738A">
        <w:rPr>
          <w:sz w:val="23"/>
          <w:szCs w:val="23"/>
        </w:rPr>
        <w:t xml:space="preserve">, renvoyé </w:t>
      </w:r>
      <w:r w:rsidR="00801C8E" w:rsidRPr="0087738A">
        <w:rPr>
          <w:sz w:val="23"/>
          <w:szCs w:val="23"/>
        </w:rPr>
        <w:t xml:space="preserve">  </w:t>
      </w:r>
      <w:r w:rsidR="00AA70AB" w:rsidRPr="0087738A">
        <w:rPr>
          <w:sz w:val="23"/>
          <w:szCs w:val="23"/>
        </w:rPr>
        <w:t>devant la juridiction de céans pour des faits</w:t>
      </w:r>
      <w:r w:rsidR="000C7E06" w:rsidRPr="0087738A">
        <w:rPr>
          <w:sz w:val="23"/>
          <w:szCs w:val="23"/>
        </w:rPr>
        <w:t xml:space="preserve"> de</w:t>
      </w:r>
      <w:r w:rsidR="00F7196B">
        <w:rPr>
          <w:sz w:val="23"/>
          <w:szCs w:val="23"/>
        </w:rPr>
        <w:t xml:space="preserve"> </w:t>
      </w:r>
      <w:r w:rsidR="00801C8E" w:rsidRPr="0087738A">
        <w:rPr>
          <w:sz w:val="23"/>
          <w:szCs w:val="23"/>
        </w:rPr>
        <w:t xml:space="preserve">            </w:t>
      </w:r>
      <w:r w:rsidRPr="0087738A">
        <w:rPr>
          <w:sz w:val="23"/>
          <w:szCs w:val="23"/>
        </w:rPr>
        <w:t xml:space="preserve">                              </w:t>
      </w:r>
      <w:r w:rsidR="00801C8E" w:rsidRPr="0087738A">
        <w:rPr>
          <w:sz w:val="23"/>
          <w:szCs w:val="23"/>
        </w:rPr>
        <w:t xml:space="preserve"> </w:t>
      </w:r>
      <w:r w:rsidR="00F7196B">
        <w:rPr>
          <w:sz w:val="23"/>
          <w:szCs w:val="23"/>
        </w:rPr>
        <w:t xml:space="preserve">      </w:t>
      </w:r>
      <w:r w:rsidR="00AA70AB" w:rsidRPr="0087738A">
        <w:rPr>
          <w:sz w:val="23"/>
          <w:szCs w:val="23"/>
        </w:rPr>
        <w:t xml:space="preserve">, a été placé en garde à vue le </w:t>
      </w:r>
      <w:r w:rsidR="00A774D8" w:rsidRPr="0087738A">
        <w:rPr>
          <w:sz w:val="23"/>
          <w:szCs w:val="23"/>
        </w:rPr>
        <w:t xml:space="preserve">                                   </w:t>
      </w:r>
      <w:r w:rsidR="00AA70AB" w:rsidRPr="0087738A">
        <w:rPr>
          <w:sz w:val="23"/>
          <w:szCs w:val="23"/>
        </w:rPr>
        <w:t>.</w:t>
      </w:r>
    </w:p>
    <w:p w:rsidR="00AA70AB" w:rsidRPr="0087738A" w:rsidRDefault="001126B0" w:rsidP="003406F2">
      <w:pPr>
        <w:pStyle w:val="Paragraphenormal"/>
        <w:spacing w:line="276" w:lineRule="auto"/>
        <w:rPr>
          <w:sz w:val="23"/>
          <w:szCs w:val="23"/>
        </w:rPr>
      </w:pPr>
      <w:r w:rsidRPr="0087738A">
        <w:rPr>
          <w:sz w:val="23"/>
          <w:szCs w:val="23"/>
        </w:rPr>
        <w:t>Il reste que l</w:t>
      </w:r>
      <w:r w:rsidR="000C7E06" w:rsidRPr="0087738A">
        <w:rPr>
          <w:sz w:val="23"/>
          <w:szCs w:val="23"/>
        </w:rPr>
        <w:t>a</w:t>
      </w:r>
      <w:r w:rsidR="00BD6837" w:rsidRPr="0087738A">
        <w:rPr>
          <w:sz w:val="23"/>
          <w:szCs w:val="23"/>
        </w:rPr>
        <w:t xml:space="preserve"> pesée de stupéfiants réalisée au cours de cette mesure de contrainte n’était pas conforme aux dispositions de l’article 706-30</w:t>
      </w:r>
      <w:r w:rsidR="00245E32" w:rsidRPr="0087738A">
        <w:rPr>
          <w:sz w:val="23"/>
          <w:szCs w:val="23"/>
        </w:rPr>
        <w:t>-1</w:t>
      </w:r>
      <w:r w:rsidR="00BD6837" w:rsidRPr="0087738A">
        <w:rPr>
          <w:sz w:val="23"/>
          <w:szCs w:val="23"/>
        </w:rPr>
        <w:t xml:space="preserve"> du Code de procédure pénale (« </w:t>
      </w:r>
      <w:r w:rsidR="00BD6837" w:rsidRPr="0087738A">
        <w:rPr>
          <w:b/>
          <w:sz w:val="23"/>
          <w:szCs w:val="23"/>
        </w:rPr>
        <w:t>CPP</w:t>
      </w:r>
      <w:r w:rsidR="00BD6837" w:rsidRPr="0087738A">
        <w:rPr>
          <w:sz w:val="23"/>
          <w:szCs w:val="23"/>
        </w:rPr>
        <w:t xml:space="preserve"> »), si bien que le Tribunal en prononcera la nullité ainsi que celle de tous les actes dont </w:t>
      </w:r>
      <w:r w:rsidR="00BE1273">
        <w:rPr>
          <w:sz w:val="23"/>
          <w:szCs w:val="23"/>
        </w:rPr>
        <w:t>elle</w:t>
      </w:r>
      <w:r w:rsidR="00BD6837" w:rsidRPr="0087738A">
        <w:rPr>
          <w:sz w:val="23"/>
          <w:szCs w:val="23"/>
        </w:rPr>
        <w:t xml:space="preserve"> fut le support nécessaire</w:t>
      </w:r>
      <w:r w:rsidR="00104C71" w:rsidRPr="0087738A">
        <w:rPr>
          <w:sz w:val="23"/>
          <w:szCs w:val="23"/>
        </w:rPr>
        <w:t>.</w:t>
      </w:r>
    </w:p>
    <w:p w:rsidR="000C7E06" w:rsidRPr="0087738A" w:rsidRDefault="000C7E06" w:rsidP="003406F2">
      <w:pPr>
        <w:pStyle w:val="Paragraphenormal"/>
        <w:spacing w:line="276" w:lineRule="auto"/>
        <w:rPr>
          <w:sz w:val="23"/>
          <w:szCs w:val="23"/>
        </w:rPr>
      </w:pPr>
    </w:p>
    <w:p w:rsidR="000C7E06" w:rsidRPr="0087738A" w:rsidRDefault="000C7E06" w:rsidP="003406F2">
      <w:pPr>
        <w:pStyle w:val="Paragraphenormal"/>
        <w:spacing w:line="276" w:lineRule="auto"/>
        <w:rPr>
          <w:sz w:val="23"/>
          <w:szCs w:val="23"/>
        </w:rPr>
      </w:pPr>
    </w:p>
    <w:p w:rsidR="000C7E06" w:rsidRPr="0087738A" w:rsidRDefault="000C7E06" w:rsidP="003406F2">
      <w:pPr>
        <w:pStyle w:val="Paragraphenormal"/>
        <w:numPr>
          <w:ilvl w:val="0"/>
          <w:numId w:val="7"/>
        </w:numPr>
        <w:spacing w:line="276" w:lineRule="auto"/>
        <w:rPr>
          <w:b/>
          <w:sz w:val="23"/>
          <w:szCs w:val="23"/>
          <w:u w:val="single"/>
        </w:rPr>
      </w:pPr>
      <w:r w:rsidRPr="0087738A">
        <w:rPr>
          <w:b/>
          <w:sz w:val="23"/>
          <w:szCs w:val="23"/>
          <w:u w:val="single"/>
        </w:rPr>
        <w:t>Rappel des faits et de la procédure</w:t>
      </w:r>
    </w:p>
    <w:p w:rsidR="000C7E06" w:rsidRPr="0087738A" w:rsidRDefault="000C7E06" w:rsidP="003406F2">
      <w:pPr>
        <w:pStyle w:val="Paragraphedeliste1"/>
        <w:numPr>
          <w:ilvl w:val="0"/>
          <w:numId w:val="0"/>
        </w:numPr>
        <w:spacing w:line="276" w:lineRule="auto"/>
        <w:ind w:left="720"/>
        <w:rPr>
          <w:sz w:val="23"/>
          <w:szCs w:val="23"/>
        </w:rPr>
      </w:pPr>
    </w:p>
    <w:p w:rsidR="000C7E06" w:rsidRPr="0087738A" w:rsidRDefault="000C7E06" w:rsidP="003406F2">
      <w:pPr>
        <w:pStyle w:val="Paragraphedeliste1"/>
        <w:spacing w:line="276" w:lineRule="auto"/>
        <w:rPr>
          <w:sz w:val="23"/>
          <w:szCs w:val="23"/>
        </w:rPr>
      </w:pPr>
      <w:r w:rsidRPr="0087738A">
        <w:rPr>
          <w:sz w:val="23"/>
          <w:szCs w:val="23"/>
        </w:rPr>
        <w:t xml:space="preserve"> </w:t>
      </w:r>
    </w:p>
    <w:p w:rsidR="000C7E06" w:rsidRPr="0087738A" w:rsidRDefault="000C7E06" w:rsidP="003406F2">
      <w:pPr>
        <w:pStyle w:val="Paragraphedeliste1"/>
        <w:numPr>
          <w:ilvl w:val="0"/>
          <w:numId w:val="0"/>
        </w:numPr>
        <w:spacing w:line="276" w:lineRule="auto"/>
        <w:ind w:left="720"/>
        <w:rPr>
          <w:sz w:val="23"/>
          <w:szCs w:val="23"/>
        </w:rPr>
      </w:pPr>
    </w:p>
    <w:p w:rsidR="00F645EA" w:rsidRPr="0087738A" w:rsidRDefault="00F645EA"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A774D8" w:rsidRPr="0087738A" w:rsidRDefault="00A774D8" w:rsidP="003406F2">
      <w:pPr>
        <w:pStyle w:val="Paragraphedeliste1"/>
        <w:numPr>
          <w:ilvl w:val="0"/>
          <w:numId w:val="0"/>
        </w:numPr>
        <w:spacing w:line="276" w:lineRule="auto"/>
        <w:ind w:left="720"/>
        <w:rPr>
          <w:sz w:val="23"/>
          <w:szCs w:val="23"/>
        </w:rPr>
      </w:pPr>
    </w:p>
    <w:p w:rsidR="00F645EA" w:rsidRPr="0087738A" w:rsidRDefault="00F645EA" w:rsidP="003406F2">
      <w:pPr>
        <w:pStyle w:val="Paragraphenormal"/>
        <w:numPr>
          <w:ilvl w:val="0"/>
          <w:numId w:val="7"/>
        </w:numPr>
        <w:spacing w:line="276" w:lineRule="auto"/>
        <w:rPr>
          <w:b/>
          <w:sz w:val="23"/>
          <w:szCs w:val="23"/>
          <w:u w:val="single"/>
        </w:rPr>
      </w:pPr>
      <w:r w:rsidRPr="0087738A">
        <w:rPr>
          <w:b/>
          <w:sz w:val="23"/>
          <w:szCs w:val="23"/>
          <w:u w:val="single"/>
        </w:rPr>
        <w:t>Discussion</w:t>
      </w:r>
    </w:p>
    <w:p w:rsidR="00F645EA" w:rsidRPr="0087738A" w:rsidRDefault="00F645EA" w:rsidP="003406F2">
      <w:pPr>
        <w:pStyle w:val="Paragraphenormal"/>
        <w:spacing w:line="276" w:lineRule="auto"/>
        <w:ind w:left="1440"/>
        <w:rPr>
          <w:b/>
          <w:sz w:val="23"/>
          <w:szCs w:val="23"/>
          <w:u w:val="single"/>
        </w:rPr>
      </w:pPr>
    </w:p>
    <w:p w:rsidR="00104C71" w:rsidRPr="0087738A" w:rsidRDefault="00104C71" w:rsidP="003406F2">
      <w:pPr>
        <w:pStyle w:val="Paragraphedeliste1"/>
        <w:numPr>
          <w:ilvl w:val="1"/>
          <w:numId w:val="7"/>
        </w:numPr>
        <w:spacing w:line="276" w:lineRule="auto"/>
        <w:rPr>
          <w:b/>
          <w:sz w:val="23"/>
          <w:szCs w:val="23"/>
        </w:rPr>
      </w:pPr>
      <w:r w:rsidRPr="0087738A">
        <w:rPr>
          <w:b/>
          <w:sz w:val="23"/>
          <w:szCs w:val="23"/>
        </w:rPr>
        <w:t xml:space="preserve">Sur le droit applicable </w:t>
      </w:r>
    </w:p>
    <w:p w:rsidR="00104C71" w:rsidRPr="0087738A" w:rsidRDefault="00104C71" w:rsidP="003406F2">
      <w:pPr>
        <w:pStyle w:val="Paragraphedeliste1"/>
        <w:numPr>
          <w:ilvl w:val="0"/>
          <w:numId w:val="0"/>
        </w:numPr>
        <w:spacing w:line="276" w:lineRule="auto"/>
        <w:ind w:left="720"/>
        <w:rPr>
          <w:b/>
          <w:sz w:val="23"/>
          <w:szCs w:val="23"/>
        </w:rPr>
      </w:pPr>
    </w:p>
    <w:p w:rsidR="00E955B4" w:rsidRPr="0087738A" w:rsidRDefault="00E955B4" w:rsidP="003406F2">
      <w:pPr>
        <w:pStyle w:val="ParagrapheList"/>
        <w:spacing w:line="276" w:lineRule="auto"/>
        <w:rPr>
          <w:sz w:val="23"/>
          <w:szCs w:val="23"/>
        </w:rPr>
      </w:pPr>
      <w:r w:rsidRPr="0087738A">
        <w:rPr>
          <w:sz w:val="23"/>
          <w:szCs w:val="23"/>
        </w:rPr>
        <w:t>L’article 706-30</w:t>
      </w:r>
      <w:r w:rsidR="00245E32" w:rsidRPr="0087738A">
        <w:rPr>
          <w:sz w:val="23"/>
          <w:szCs w:val="23"/>
        </w:rPr>
        <w:t>-1</w:t>
      </w:r>
      <w:r w:rsidRPr="0087738A">
        <w:rPr>
          <w:sz w:val="23"/>
          <w:szCs w:val="23"/>
        </w:rPr>
        <w:t xml:space="preserve"> du </w:t>
      </w:r>
      <w:r w:rsidR="00245E32" w:rsidRPr="0087738A">
        <w:rPr>
          <w:sz w:val="23"/>
          <w:szCs w:val="23"/>
        </w:rPr>
        <w:t>CPP</w:t>
      </w:r>
      <w:r w:rsidRPr="0087738A">
        <w:rPr>
          <w:sz w:val="23"/>
          <w:szCs w:val="23"/>
        </w:rPr>
        <w:t xml:space="preserve"> prévoit ceci :  </w:t>
      </w:r>
    </w:p>
    <w:p w:rsidR="00E955B4" w:rsidRPr="0087738A" w:rsidRDefault="00E955B4" w:rsidP="003406F2">
      <w:pPr>
        <w:pStyle w:val="NormalWeb"/>
        <w:shd w:val="clear" w:color="auto" w:fill="FFFFFF"/>
        <w:spacing w:before="180" w:beforeAutospacing="0" w:after="180" w:afterAutospacing="0" w:line="276" w:lineRule="auto"/>
        <w:ind w:left="1416"/>
        <w:jc w:val="both"/>
        <w:rPr>
          <w:rFonts w:ascii="Garamond" w:hAnsi="Garamond" w:cs="Arial"/>
          <w:bCs/>
          <w:i/>
          <w:sz w:val="23"/>
          <w:szCs w:val="23"/>
        </w:rPr>
      </w:pPr>
      <w:r w:rsidRPr="0087738A">
        <w:rPr>
          <w:rFonts w:ascii="Garamond" w:hAnsi="Garamond" w:cs="Arial"/>
          <w:bCs/>
          <w:sz w:val="23"/>
          <w:szCs w:val="23"/>
        </w:rPr>
        <w:t>«</w:t>
      </w:r>
      <w:r w:rsidRPr="0087738A">
        <w:rPr>
          <w:rFonts w:ascii="Garamond" w:hAnsi="Garamond" w:cs="Arial"/>
          <w:bCs/>
          <w:i/>
          <w:sz w:val="23"/>
          <w:szCs w:val="23"/>
        </w:rPr>
        <w:t> Lorsqu'il est fait application des dispositions du quatrième alinéa de</w:t>
      </w:r>
      <w:r w:rsidRPr="0087738A">
        <w:rPr>
          <w:rFonts w:ascii="Garamond" w:hAnsi="Garamond"/>
          <w:bCs/>
          <w:i/>
          <w:sz w:val="23"/>
          <w:szCs w:val="23"/>
        </w:rPr>
        <w:t> </w:t>
      </w:r>
      <w:hyperlink r:id="rId7" w:history="1">
        <w:r w:rsidRPr="0087738A">
          <w:rPr>
            <w:rFonts w:ascii="Garamond" w:hAnsi="Garamond"/>
            <w:bCs/>
            <w:i/>
            <w:sz w:val="23"/>
            <w:szCs w:val="23"/>
          </w:rPr>
          <w:t>l'article 99-2</w:t>
        </w:r>
      </w:hyperlink>
      <w:r w:rsidRPr="0087738A">
        <w:rPr>
          <w:rFonts w:ascii="Garamond" w:hAnsi="Garamond"/>
          <w:bCs/>
          <w:i/>
          <w:sz w:val="23"/>
          <w:szCs w:val="23"/>
        </w:rPr>
        <w:t> </w:t>
      </w:r>
      <w:r w:rsidRPr="0087738A">
        <w:rPr>
          <w:rFonts w:ascii="Garamond" w:hAnsi="Garamond" w:cs="Arial"/>
          <w:bCs/>
          <w:i/>
          <w:sz w:val="23"/>
          <w:szCs w:val="23"/>
        </w:rPr>
        <w:t xml:space="preserve">à des substances stupéfiantes saisies au cours de la procédure, le juge d'instruction doit conserver un échantillon de ces </w:t>
      </w:r>
      <w:r w:rsidRPr="0087738A">
        <w:rPr>
          <w:rFonts w:ascii="Garamond" w:hAnsi="Garamond" w:cs="Arial"/>
          <w:bCs/>
          <w:i/>
          <w:sz w:val="23"/>
          <w:szCs w:val="23"/>
        </w:rPr>
        <w:lastRenderedPageBreak/>
        <w:t>produits afin de permettre, le cas échéant, qu'ils fassent l'objet d'une expertise. Cet échantillon est placé sous scellés.</w:t>
      </w:r>
    </w:p>
    <w:p w:rsidR="00E955B4" w:rsidRPr="0087738A" w:rsidRDefault="00E955B4" w:rsidP="003406F2">
      <w:pPr>
        <w:pStyle w:val="NormalWeb"/>
        <w:shd w:val="clear" w:color="auto" w:fill="FFFFFF"/>
        <w:spacing w:before="180" w:beforeAutospacing="0" w:after="180" w:afterAutospacing="0" w:line="276" w:lineRule="auto"/>
        <w:ind w:left="1416"/>
        <w:jc w:val="both"/>
        <w:rPr>
          <w:rFonts w:ascii="Garamond" w:hAnsi="Garamond" w:cs="Arial"/>
          <w:bCs/>
          <w:i/>
          <w:sz w:val="23"/>
          <w:szCs w:val="23"/>
        </w:rPr>
      </w:pPr>
      <w:r w:rsidRPr="0087738A">
        <w:rPr>
          <w:rFonts w:ascii="Garamond" w:hAnsi="Garamond" w:cs="Arial"/>
          <w:b/>
          <w:bCs/>
          <w:i/>
          <w:sz w:val="23"/>
          <w:szCs w:val="23"/>
        </w:rPr>
        <w:t xml:space="preserve">Il </w:t>
      </w:r>
      <w:r w:rsidRPr="0087738A">
        <w:rPr>
          <w:rFonts w:ascii="Garamond" w:hAnsi="Garamond" w:cs="Arial"/>
          <w:b/>
          <w:bCs/>
          <w:i/>
          <w:sz w:val="23"/>
          <w:szCs w:val="23"/>
          <w:u w:val="single"/>
        </w:rPr>
        <w:t>doit</w:t>
      </w:r>
      <w:r w:rsidRPr="0087738A">
        <w:rPr>
          <w:rFonts w:ascii="Garamond" w:hAnsi="Garamond" w:cs="Arial"/>
          <w:b/>
          <w:bCs/>
          <w:i/>
          <w:sz w:val="23"/>
          <w:szCs w:val="23"/>
        </w:rPr>
        <w:t xml:space="preserve"> être procédé</w:t>
      </w:r>
      <w:r w:rsidRPr="0087738A">
        <w:rPr>
          <w:rFonts w:ascii="Garamond" w:hAnsi="Garamond" w:cs="Arial"/>
          <w:bCs/>
          <w:i/>
          <w:sz w:val="23"/>
          <w:szCs w:val="23"/>
        </w:rPr>
        <w:t xml:space="preserve"> par le juge d'instruction ou par un officier de police judiciaire agissant sur commission rogatoire </w:t>
      </w:r>
      <w:r w:rsidRPr="0087738A">
        <w:rPr>
          <w:rFonts w:ascii="Garamond" w:hAnsi="Garamond" w:cs="Arial"/>
          <w:b/>
          <w:bCs/>
          <w:i/>
          <w:sz w:val="23"/>
          <w:szCs w:val="23"/>
        </w:rPr>
        <w:t>à la pesée des substances saisies avant leur destruction</w:t>
      </w:r>
      <w:r w:rsidRPr="0087738A">
        <w:rPr>
          <w:rFonts w:ascii="Garamond" w:hAnsi="Garamond" w:cs="Arial"/>
          <w:bCs/>
          <w:i/>
          <w:sz w:val="23"/>
          <w:szCs w:val="23"/>
        </w:rPr>
        <w:t xml:space="preserve">. </w:t>
      </w:r>
      <w:r w:rsidRPr="0087738A">
        <w:rPr>
          <w:rFonts w:ascii="Garamond" w:hAnsi="Garamond" w:cs="Arial"/>
          <w:b/>
          <w:bCs/>
          <w:i/>
          <w:sz w:val="23"/>
          <w:szCs w:val="23"/>
          <w:u w:val="single"/>
        </w:rPr>
        <w:t>Cette pesée doit être réalisée en présence de la personne qui détenait les substances</w:t>
      </w:r>
      <w:r w:rsidRPr="0087738A">
        <w:rPr>
          <w:rFonts w:ascii="Garamond" w:hAnsi="Garamond" w:cs="Arial"/>
          <w:bCs/>
          <w:i/>
          <w:sz w:val="23"/>
          <w:szCs w:val="23"/>
        </w:rPr>
        <w:t xml:space="preserve">, ou, à défaut, en présence de deux témoins requis par le juge d'instruction ou l'officier de police judiciaire et choisis en dehors des personnes relevant de leur autorité. </w:t>
      </w:r>
      <w:r w:rsidRPr="0087738A">
        <w:rPr>
          <w:rFonts w:ascii="Garamond" w:hAnsi="Garamond" w:cs="Arial"/>
          <w:b/>
          <w:bCs/>
          <w:i/>
          <w:sz w:val="23"/>
          <w:szCs w:val="23"/>
        </w:rPr>
        <w:t>La pesée peut également être réalisée, dans les mêmes conditions, au cours de l'enquête de flagrance ou de l'enquête préliminaire, par un officier de police judiciaire, ou, au cours de l'enquête douanière, par un agent des douanes de catégorie A ou B</w:t>
      </w:r>
      <w:r w:rsidRPr="0087738A">
        <w:rPr>
          <w:rFonts w:ascii="Garamond" w:hAnsi="Garamond" w:cs="Arial"/>
          <w:bCs/>
          <w:i/>
          <w:sz w:val="23"/>
          <w:szCs w:val="23"/>
        </w:rPr>
        <w:t>.</w:t>
      </w:r>
    </w:p>
    <w:p w:rsidR="00E955B4" w:rsidRPr="0087738A" w:rsidRDefault="00E955B4" w:rsidP="003406F2">
      <w:pPr>
        <w:pStyle w:val="NormalWeb"/>
        <w:shd w:val="clear" w:color="auto" w:fill="FFFFFF"/>
        <w:spacing w:before="180" w:beforeAutospacing="0" w:after="180" w:afterAutospacing="0" w:line="276" w:lineRule="auto"/>
        <w:ind w:left="1416"/>
        <w:jc w:val="both"/>
        <w:rPr>
          <w:rFonts w:ascii="Garamond" w:hAnsi="Garamond" w:cs="Arial"/>
          <w:bCs/>
          <w:sz w:val="23"/>
          <w:szCs w:val="23"/>
        </w:rPr>
      </w:pPr>
      <w:r w:rsidRPr="0087738A">
        <w:rPr>
          <w:rFonts w:ascii="Garamond" w:hAnsi="Garamond" w:cs="Arial"/>
          <w:bCs/>
          <w:i/>
          <w:sz w:val="23"/>
          <w:szCs w:val="23"/>
        </w:rPr>
        <w:t>Le procès-verbal des opérations de pesée est signé par les personnes mentionnées ci-dessus. En cas de refus, il en est fait mention au procès-verbal. </w:t>
      </w:r>
      <w:r w:rsidRPr="0087738A">
        <w:rPr>
          <w:rFonts w:ascii="Garamond" w:hAnsi="Garamond" w:cs="Arial"/>
          <w:bCs/>
          <w:sz w:val="23"/>
          <w:szCs w:val="23"/>
        </w:rPr>
        <w:t>»</w:t>
      </w:r>
    </w:p>
    <w:p w:rsidR="00E955B4" w:rsidRPr="0087738A" w:rsidRDefault="00E955B4" w:rsidP="003406F2">
      <w:pPr>
        <w:pStyle w:val="ParagrapheList"/>
        <w:spacing w:line="276" w:lineRule="auto"/>
        <w:rPr>
          <w:bCs/>
          <w:sz w:val="23"/>
          <w:szCs w:val="23"/>
        </w:rPr>
      </w:pPr>
      <w:r w:rsidRPr="0087738A">
        <w:rPr>
          <w:bCs/>
          <w:sz w:val="23"/>
          <w:szCs w:val="23"/>
        </w:rPr>
        <w:t>Il en résulte que toute opération de pesée, au cours d’une enquête préliminaire ou d’une enquête douanière, doit être réalisée en présence « </w:t>
      </w:r>
      <w:r w:rsidRPr="0087738A">
        <w:rPr>
          <w:b/>
          <w:bCs/>
          <w:i/>
          <w:sz w:val="23"/>
          <w:szCs w:val="23"/>
        </w:rPr>
        <w:t>constante et effective</w:t>
      </w:r>
      <w:r w:rsidRPr="0087738A">
        <w:rPr>
          <w:bCs/>
          <w:sz w:val="23"/>
          <w:szCs w:val="23"/>
        </w:rPr>
        <w:t> » de la personne qui détenait les substances.</w:t>
      </w:r>
    </w:p>
    <w:p w:rsidR="00E955B4" w:rsidRPr="0087738A" w:rsidRDefault="00E955B4" w:rsidP="003406F2">
      <w:pPr>
        <w:pStyle w:val="Pieddepage"/>
        <w:tabs>
          <w:tab w:val="clear" w:pos="4536"/>
          <w:tab w:val="clear" w:pos="9072"/>
        </w:tabs>
        <w:spacing w:line="276" w:lineRule="auto"/>
        <w:ind w:left="708"/>
        <w:jc w:val="both"/>
        <w:rPr>
          <w:rFonts w:ascii="Garamond" w:hAnsi="Garamond"/>
          <w:bCs/>
          <w:sz w:val="23"/>
          <w:szCs w:val="23"/>
        </w:rPr>
      </w:pPr>
      <w:r w:rsidRPr="0087738A">
        <w:rPr>
          <w:rFonts w:ascii="Garamond" w:hAnsi="Garamond"/>
          <w:bCs/>
          <w:sz w:val="23"/>
          <w:szCs w:val="23"/>
        </w:rPr>
        <w:t xml:space="preserve">Cette présence doit naturellement être constatée par procès-verbal, faute de quoi </w:t>
      </w:r>
      <w:r w:rsidR="00245E32" w:rsidRPr="0087738A">
        <w:rPr>
          <w:rFonts w:ascii="Garamond" w:hAnsi="Garamond"/>
          <w:bCs/>
          <w:sz w:val="23"/>
          <w:szCs w:val="23"/>
        </w:rPr>
        <w:t>la juridiction</w:t>
      </w:r>
      <w:r w:rsidRPr="0087738A">
        <w:rPr>
          <w:rFonts w:ascii="Garamond" w:hAnsi="Garamond"/>
          <w:bCs/>
          <w:sz w:val="23"/>
          <w:szCs w:val="23"/>
        </w:rPr>
        <w:t xml:space="preserve"> </w:t>
      </w:r>
      <w:r w:rsidR="00245E32" w:rsidRPr="0087738A">
        <w:rPr>
          <w:rFonts w:ascii="Garamond" w:hAnsi="Garamond"/>
          <w:bCs/>
          <w:sz w:val="23"/>
          <w:szCs w:val="23"/>
        </w:rPr>
        <w:t xml:space="preserve">saisie de la régularité de la procédure présentée à son examen </w:t>
      </w:r>
      <w:r w:rsidRPr="0087738A">
        <w:rPr>
          <w:rFonts w:ascii="Garamond" w:hAnsi="Garamond"/>
          <w:bCs/>
          <w:sz w:val="23"/>
          <w:szCs w:val="23"/>
        </w:rPr>
        <w:t>serait dans l’impossibilité de s’assurer du respect de cette disposition.</w:t>
      </w:r>
    </w:p>
    <w:p w:rsidR="00E955B4" w:rsidRPr="0087738A" w:rsidRDefault="00E955B4" w:rsidP="003406F2">
      <w:pPr>
        <w:pStyle w:val="Pieddepage"/>
        <w:tabs>
          <w:tab w:val="clear" w:pos="4536"/>
          <w:tab w:val="clear" w:pos="9072"/>
        </w:tabs>
        <w:spacing w:line="276" w:lineRule="auto"/>
        <w:rPr>
          <w:rFonts w:ascii="Garamond" w:hAnsi="Garamond"/>
          <w:bCs/>
          <w:sz w:val="23"/>
          <w:szCs w:val="23"/>
        </w:rPr>
      </w:pPr>
    </w:p>
    <w:p w:rsidR="00E955B4" w:rsidRPr="0087738A" w:rsidRDefault="00E955B4" w:rsidP="003406F2">
      <w:pPr>
        <w:pStyle w:val="ParagrapheList"/>
        <w:spacing w:line="276" w:lineRule="auto"/>
        <w:rPr>
          <w:bCs/>
          <w:sz w:val="23"/>
          <w:szCs w:val="23"/>
        </w:rPr>
      </w:pPr>
      <w:r w:rsidRPr="0087738A">
        <w:rPr>
          <w:bCs/>
          <w:sz w:val="23"/>
          <w:szCs w:val="23"/>
        </w:rPr>
        <w:t>Par arrêt du 24 janvier 2007</w:t>
      </w:r>
      <w:r w:rsidR="00245E32" w:rsidRPr="0087738A">
        <w:rPr>
          <w:bCs/>
          <w:sz w:val="23"/>
          <w:szCs w:val="23"/>
        </w:rPr>
        <w:t>,</w:t>
      </w:r>
      <w:r w:rsidRPr="0087738A">
        <w:rPr>
          <w:bCs/>
          <w:sz w:val="23"/>
          <w:szCs w:val="23"/>
        </w:rPr>
        <w:t xml:space="preserve"> la Chambre criminelle a rappelé que la violation de l’article 706-30-1 du </w:t>
      </w:r>
      <w:r w:rsidR="00245E32" w:rsidRPr="0087738A">
        <w:rPr>
          <w:bCs/>
          <w:sz w:val="23"/>
          <w:szCs w:val="23"/>
        </w:rPr>
        <w:t xml:space="preserve">CPP </w:t>
      </w:r>
      <w:r w:rsidRPr="0087738A">
        <w:rPr>
          <w:bCs/>
          <w:sz w:val="23"/>
          <w:szCs w:val="23"/>
        </w:rPr>
        <w:t>doit être sanctionnée par la nullité de l’opération de pesée et l’</w:t>
      </w:r>
      <w:r w:rsidRPr="0087738A">
        <w:rPr>
          <w:bCs/>
          <w:sz w:val="23"/>
          <w:szCs w:val="23"/>
          <w:u w:val="single"/>
        </w:rPr>
        <w:t>inopposabilité de cette pesée à la personne mise en cause</w:t>
      </w:r>
      <w:r w:rsidRPr="0087738A">
        <w:rPr>
          <w:bCs/>
          <w:sz w:val="23"/>
          <w:szCs w:val="23"/>
        </w:rPr>
        <w:t> :</w:t>
      </w:r>
    </w:p>
    <w:p w:rsidR="00E955B4" w:rsidRPr="0087738A" w:rsidRDefault="00E955B4" w:rsidP="003406F2">
      <w:pPr>
        <w:pStyle w:val="NormalWeb"/>
        <w:shd w:val="clear" w:color="auto" w:fill="FFFFFF"/>
        <w:spacing w:before="180" w:beforeAutospacing="0" w:after="180" w:afterAutospacing="0" w:line="276" w:lineRule="auto"/>
        <w:ind w:left="1275" w:firstLine="141"/>
        <w:jc w:val="both"/>
        <w:rPr>
          <w:rFonts w:ascii="Garamond" w:hAnsi="Garamond" w:cs="Arial"/>
          <w:b/>
          <w:bCs/>
          <w:i/>
          <w:sz w:val="23"/>
          <w:szCs w:val="23"/>
        </w:rPr>
      </w:pPr>
      <w:r w:rsidRPr="0087738A">
        <w:rPr>
          <w:rFonts w:ascii="Garamond" w:hAnsi="Garamond" w:cs="Arial"/>
          <w:bCs/>
          <w:sz w:val="23"/>
          <w:szCs w:val="23"/>
        </w:rPr>
        <w:t>« </w:t>
      </w:r>
      <w:r w:rsidRPr="0087738A">
        <w:rPr>
          <w:rFonts w:ascii="Garamond" w:hAnsi="Garamond" w:cs="Arial"/>
          <w:bCs/>
          <w:i/>
          <w:sz w:val="23"/>
          <w:szCs w:val="23"/>
        </w:rPr>
        <w:t>Vu les articles 706-30-1 et 593 du code de procédure pénale ;</w:t>
      </w:r>
    </w:p>
    <w:p w:rsidR="00E955B4" w:rsidRPr="0087738A" w:rsidRDefault="00E955B4" w:rsidP="003406F2">
      <w:pPr>
        <w:pStyle w:val="NormalWeb"/>
        <w:shd w:val="clear" w:color="auto" w:fill="FFFFFF"/>
        <w:spacing w:before="180" w:beforeAutospacing="0" w:after="180" w:afterAutospacing="0" w:line="276" w:lineRule="auto"/>
        <w:ind w:left="1416"/>
        <w:jc w:val="both"/>
        <w:rPr>
          <w:rFonts w:ascii="Garamond" w:hAnsi="Garamond" w:cs="Arial"/>
          <w:b/>
          <w:bCs/>
          <w:i/>
          <w:sz w:val="23"/>
          <w:szCs w:val="23"/>
        </w:rPr>
      </w:pPr>
      <w:r w:rsidRPr="0087738A">
        <w:rPr>
          <w:rFonts w:ascii="Garamond" w:hAnsi="Garamond" w:cs="Arial"/>
          <w:b/>
          <w:bCs/>
          <w:i/>
          <w:sz w:val="23"/>
          <w:szCs w:val="23"/>
        </w:rPr>
        <w:t xml:space="preserve">Attendu que, selon le premier de ces textes en son deuxième alinéa, la pesée des produits stupéfiants, effectuée par l'officier de police judiciaire au cours de l'enquête de flagrance, </w:t>
      </w:r>
      <w:r w:rsidRPr="0087738A">
        <w:rPr>
          <w:rFonts w:ascii="Garamond" w:hAnsi="Garamond" w:cs="Arial"/>
          <w:b/>
          <w:bCs/>
          <w:i/>
          <w:sz w:val="23"/>
          <w:szCs w:val="23"/>
          <w:u w:val="single"/>
        </w:rPr>
        <w:t>doit être réalisée en présence de la personne</w:t>
      </w:r>
      <w:r w:rsidRPr="0087738A">
        <w:rPr>
          <w:rFonts w:ascii="Garamond" w:hAnsi="Garamond" w:cs="Arial"/>
          <w:b/>
          <w:bCs/>
          <w:i/>
          <w:sz w:val="23"/>
          <w:szCs w:val="23"/>
        </w:rPr>
        <w:t xml:space="preserve"> qui détenait les substances ou de deux témoins requis par lui ;</w:t>
      </w:r>
    </w:p>
    <w:p w:rsidR="00E955B4" w:rsidRPr="0087738A" w:rsidRDefault="00E955B4" w:rsidP="003406F2">
      <w:pPr>
        <w:pStyle w:val="NormalWeb"/>
        <w:shd w:val="clear" w:color="auto" w:fill="FFFFFF"/>
        <w:spacing w:before="180" w:beforeAutospacing="0" w:after="180" w:afterAutospacing="0" w:line="276" w:lineRule="auto"/>
        <w:ind w:left="1416"/>
        <w:jc w:val="both"/>
        <w:rPr>
          <w:rFonts w:ascii="Garamond" w:hAnsi="Garamond" w:cs="Arial"/>
          <w:bCs/>
          <w:i/>
          <w:sz w:val="23"/>
          <w:szCs w:val="23"/>
        </w:rPr>
      </w:pPr>
      <w:r w:rsidRPr="0087738A">
        <w:rPr>
          <w:rFonts w:ascii="Garamond" w:hAnsi="Garamond" w:cs="Arial"/>
          <w:bCs/>
          <w:i/>
          <w:sz w:val="23"/>
          <w:szCs w:val="23"/>
        </w:rPr>
        <w:t>Attendu que tout arrêt de la chambre de l'instruction doit comporter les motifs propres à justifier la</w:t>
      </w:r>
      <w:r w:rsidR="00BE65C4" w:rsidRPr="0087738A">
        <w:rPr>
          <w:rFonts w:ascii="Garamond" w:hAnsi="Garamond" w:cs="Arial"/>
          <w:bCs/>
          <w:i/>
          <w:sz w:val="23"/>
          <w:szCs w:val="23"/>
        </w:rPr>
        <w:t xml:space="preserve"> </w:t>
      </w:r>
      <w:r w:rsidRPr="0087738A">
        <w:rPr>
          <w:rFonts w:ascii="Garamond" w:hAnsi="Garamond" w:cs="Arial"/>
          <w:bCs/>
          <w:i/>
          <w:sz w:val="23"/>
          <w:szCs w:val="23"/>
        </w:rPr>
        <w:t>décision ; que l'insuffisance ou la contradiction de motifs équivaut à leur absence ;</w:t>
      </w:r>
    </w:p>
    <w:p w:rsidR="00E955B4" w:rsidRPr="0087738A" w:rsidRDefault="00E955B4" w:rsidP="003406F2">
      <w:pPr>
        <w:pStyle w:val="NormalWeb"/>
        <w:shd w:val="clear" w:color="auto" w:fill="FFFFFF"/>
        <w:spacing w:before="180" w:beforeAutospacing="0" w:after="180" w:afterAutospacing="0" w:line="276" w:lineRule="auto"/>
        <w:ind w:left="1416"/>
        <w:jc w:val="both"/>
        <w:rPr>
          <w:rFonts w:ascii="Garamond" w:hAnsi="Garamond" w:cs="Arial"/>
          <w:bCs/>
          <w:i/>
          <w:sz w:val="23"/>
          <w:szCs w:val="23"/>
        </w:rPr>
      </w:pPr>
      <w:r w:rsidRPr="0087738A">
        <w:rPr>
          <w:rFonts w:ascii="Garamond" w:hAnsi="Garamond" w:cs="Arial"/>
          <w:b/>
          <w:bCs/>
          <w:i/>
          <w:sz w:val="23"/>
          <w:szCs w:val="23"/>
        </w:rPr>
        <w:t>Attendu que Fayçal X... a demandé l'annulation</w:t>
      </w:r>
      <w:r w:rsidRPr="0087738A">
        <w:rPr>
          <w:rFonts w:ascii="Garamond" w:hAnsi="Garamond" w:cs="Arial"/>
          <w:bCs/>
          <w:i/>
          <w:sz w:val="23"/>
          <w:szCs w:val="23"/>
        </w:rPr>
        <w:t xml:space="preserve"> </w:t>
      </w:r>
      <w:r w:rsidRPr="0087738A">
        <w:rPr>
          <w:rFonts w:ascii="Garamond" w:hAnsi="Garamond" w:cs="Arial"/>
          <w:b/>
          <w:bCs/>
          <w:i/>
          <w:sz w:val="23"/>
          <w:szCs w:val="23"/>
        </w:rPr>
        <w:t>partielle du procès-verbal</w:t>
      </w:r>
      <w:r w:rsidRPr="0087738A">
        <w:rPr>
          <w:rFonts w:ascii="Garamond" w:hAnsi="Garamond" w:cs="Arial"/>
          <w:bCs/>
          <w:i/>
          <w:sz w:val="23"/>
          <w:szCs w:val="23"/>
        </w:rPr>
        <w:t xml:space="preserve"> </w:t>
      </w:r>
      <w:r w:rsidRPr="0087738A">
        <w:rPr>
          <w:rFonts w:ascii="Garamond" w:hAnsi="Garamond" w:cs="Arial"/>
          <w:b/>
          <w:bCs/>
          <w:i/>
          <w:sz w:val="23"/>
          <w:szCs w:val="23"/>
        </w:rPr>
        <w:t>de pesée</w:t>
      </w:r>
      <w:r w:rsidRPr="0087738A">
        <w:rPr>
          <w:rFonts w:ascii="Garamond" w:hAnsi="Garamond" w:cs="Arial"/>
          <w:bCs/>
          <w:i/>
          <w:sz w:val="23"/>
          <w:szCs w:val="23"/>
        </w:rPr>
        <w:t xml:space="preserve"> dressé le 10 juin 2006 (cote D 4) et du procès-verbal du 13 juin 2006 (cote D 61), constatant la destruction de la cocaïne, </w:t>
      </w:r>
      <w:r w:rsidRPr="0087738A">
        <w:rPr>
          <w:rFonts w:ascii="Garamond" w:hAnsi="Garamond" w:cs="Arial"/>
          <w:b/>
          <w:bCs/>
          <w:i/>
          <w:sz w:val="23"/>
          <w:szCs w:val="23"/>
        </w:rPr>
        <w:t>aux motifs qu'en méconnaissance du texte susvisé, la pesée a été effectuée hors sa présence</w:t>
      </w:r>
      <w:r w:rsidRPr="0087738A">
        <w:rPr>
          <w:rFonts w:ascii="Garamond" w:hAnsi="Garamond" w:cs="Arial"/>
          <w:bCs/>
          <w:i/>
          <w:sz w:val="23"/>
          <w:szCs w:val="23"/>
        </w:rPr>
        <w:t xml:space="preserve"> et sans que deux témoins aient été requis par l'officier de police judiciaire pour y assister ;</w:t>
      </w:r>
    </w:p>
    <w:p w:rsidR="00E955B4" w:rsidRPr="0087738A" w:rsidRDefault="00E955B4" w:rsidP="003406F2">
      <w:pPr>
        <w:pStyle w:val="NormalWeb"/>
        <w:shd w:val="clear" w:color="auto" w:fill="FFFFFF"/>
        <w:spacing w:before="180" w:beforeAutospacing="0" w:after="180" w:afterAutospacing="0" w:line="276" w:lineRule="auto"/>
        <w:ind w:left="1416"/>
        <w:jc w:val="both"/>
        <w:rPr>
          <w:rFonts w:ascii="Garamond" w:hAnsi="Garamond" w:cs="Arial"/>
          <w:bCs/>
          <w:i/>
          <w:sz w:val="23"/>
          <w:szCs w:val="23"/>
        </w:rPr>
      </w:pPr>
      <w:r w:rsidRPr="0087738A">
        <w:rPr>
          <w:rFonts w:ascii="Garamond" w:hAnsi="Garamond" w:cs="Arial"/>
          <w:b/>
          <w:bCs/>
          <w:i/>
          <w:sz w:val="23"/>
          <w:szCs w:val="23"/>
        </w:rPr>
        <w:t>Attendu que, pour refuser de faire droit à cette demande, l'arrêt énonce que, si le poids du bloc ne peut être opposé à la personne mise en examen,</w:t>
      </w:r>
      <w:r w:rsidRPr="0087738A">
        <w:rPr>
          <w:rFonts w:ascii="Garamond" w:hAnsi="Garamond" w:cs="Arial"/>
          <w:bCs/>
          <w:i/>
          <w:sz w:val="23"/>
          <w:szCs w:val="23"/>
        </w:rPr>
        <w:t xml:space="preserve"> </w:t>
      </w:r>
      <w:r w:rsidRPr="0087738A">
        <w:rPr>
          <w:rFonts w:ascii="Garamond" w:hAnsi="Garamond" w:cs="Arial"/>
          <w:b/>
          <w:bCs/>
          <w:i/>
          <w:sz w:val="23"/>
          <w:szCs w:val="23"/>
        </w:rPr>
        <w:t>il ressort cependant de la procédure des charges établissant qu'elle a détenu au moins 4,4 grammes,</w:t>
      </w:r>
      <w:r w:rsidRPr="0087738A">
        <w:rPr>
          <w:rFonts w:ascii="Garamond" w:hAnsi="Garamond" w:cs="Arial"/>
          <w:bCs/>
          <w:i/>
          <w:sz w:val="23"/>
          <w:szCs w:val="23"/>
        </w:rPr>
        <w:t xml:space="preserve"> poids de l'échantillon prélevé en sa présence, sans observation de sa part, et extrait du bloc photographié, dont il appartiendra à la juridiction de jugement, au vu des éléments de la procédure, d'apprécier l'importance ;</w:t>
      </w:r>
    </w:p>
    <w:p w:rsidR="00E955B4" w:rsidRPr="0087738A" w:rsidRDefault="00E955B4" w:rsidP="003406F2">
      <w:pPr>
        <w:pStyle w:val="NormalWeb"/>
        <w:shd w:val="clear" w:color="auto" w:fill="FFFFFF"/>
        <w:spacing w:before="180" w:beforeAutospacing="0" w:after="180" w:afterAutospacing="0" w:line="276" w:lineRule="auto"/>
        <w:ind w:left="1416"/>
        <w:jc w:val="both"/>
        <w:rPr>
          <w:rFonts w:ascii="Garamond" w:hAnsi="Garamond" w:cs="Arial"/>
          <w:bCs/>
          <w:i/>
          <w:sz w:val="23"/>
          <w:szCs w:val="23"/>
        </w:rPr>
      </w:pPr>
      <w:r w:rsidRPr="0087738A">
        <w:rPr>
          <w:rFonts w:ascii="Garamond" w:hAnsi="Garamond" w:cs="Arial"/>
          <w:b/>
          <w:bCs/>
          <w:i/>
          <w:sz w:val="23"/>
          <w:szCs w:val="23"/>
          <w:u w:val="single"/>
        </w:rPr>
        <w:lastRenderedPageBreak/>
        <w:t>Mais attendu que la chambre de l'instruction n'a pu</w:t>
      </w:r>
      <w:r w:rsidR="00BE65C4" w:rsidRPr="0087738A">
        <w:rPr>
          <w:rFonts w:ascii="Garamond" w:hAnsi="Garamond" w:cs="Arial"/>
          <w:b/>
          <w:bCs/>
          <w:i/>
          <w:sz w:val="23"/>
          <w:szCs w:val="23"/>
          <w:u w:val="single"/>
        </w:rPr>
        <w:t>,</w:t>
      </w:r>
      <w:r w:rsidRPr="0087738A">
        <w:rPr>
          <w:rFonts w:ascii="Garamond" w:hAnsi="Garamond" w:cs="Arial"/>
          <w:b/>
          <w:bCs/>
          <w:i/>
          <w:sz w:val="23"/>
          <w:szCs w:val="23"/>
          <w:u w:val="single"/>
        </w:rPr>
        <w:t xml:space="preserve"> sans méconnaître les textes susvisés et les principes ci-dessus énoncés, et sans se contredire, refuser d'annuler partiellement le procès-verbal constatant la pesée effectuée hors la présence du demandeur</w:t>
      </w:r>
      <w:r w:rsidRPr="0087738A">
        <w:rPr>
          <w:rFonts w:ascii="Garamond" w:hAnsi="Garamond" w:cs="Arial"/>
          <w:bCs/>
          <w:i/>
          <w:sz w:val="23"/>
          <w:szCs w:val="23"/>
        </w:rPr>
        <w:t xml:space="preserve"> et dire que le poids ainsi déterminé ne pourrait lui être opposé ;</w:t>
      </w:r>
    </w:p>
    <w:p w:rsidR="00E955B4" w:rsidRPr="0087738A" w:rsidRDefault="00E955B4" w:rsidP="003406F2">
      <w:pPr>
        <w:pStyle w:val="NormalWeb"/>
        <w:shd w:val="clear" w:color="auto" w:fill="FFFFFF"/>
        <w:spacing w:before="180" w:beforeAutospacing="0" w:after="180" w:afterAutospacing="0" w:line="276" w:lineRule="auto"/>
        <w:ind w:left="1416"/>
        <w:jc w:val="both"/>
        <w:rPr>
          <w:rFonts w:ascii="Garamond" w:hAnsi="Garamond" w:cs="Arial"/>
          <w:bCs/>
          <w:sz w:val="23"/>
          <w:szCs w:val="23"/>
        </w:rPr>
      </w:pPr>
      <w:r w:rsidRPr="0087738A">
        <w:rPr>
          <w:rFonts w:ascii="Garamond" w:hAnsi="Garamond" w:cs="Arial"/>
          <w:b/>
          <w:bCs/>
          <w:i/>
          <w:sz w:val="23"/>
          <w:szCs w:val="23"/>
        </w:rPr>
        <w:t>D'où il suit que la cassation est encourue de ce chef ;</w:t>
      </w:r>
      <w:r w:rsidR="00BE65C4" w:rsidRPr="0087738A">
        <w:rPr>
          <w:rFonts w:ascii="Garamond" w:hAnsi="Garamond" w:cs="Arial"/>
          <w:bCs/>
          <w:sz w:val="23"/>
          <w:szCs w:val="23"/>
        </w:rPr>
        <w:t> »</w:t>
      </w:r>
      <w:r w:rsidR="00BE65C4" w:rsidRPr="0087738A">
        <w:rPr>
          <w:rStyle w:val="Appelnotedebasdep"/>
          <w:rFonts w:ascii="Garamond" w:hAnsi="Garamond" w:cs="Arial"/>
          <w:bCs/>
          <w:sz w:val="23"/>
          <w:szCs w:val="23"/>
        </w:rPr>
        <w:footnoteReference w:id="1"/>
      </w:r>
      <w:r w:rsidRPr="0087738A">
        <w:rPr>
          <w:rFonts w:ascii="Garamond" w:hAnsi="Garamond" w:cs="Arial"/>
          <w:bCs/>
          <w:sz w:val="23"/>
          <w:szCs w:val="23"/>
        </w:rPr>
        <w:t>.</w:t>
      </w:r>
    </w:p>
    <w:p w:rsidR="005F75BF" w:rsidRPr="0087738A" w:rsidRDefault="005F75BF" w:rsidP="003406F2">
      <w:pPr>
        <w:pStyle w:val="ParagrapheList"/>
        <w:spacing w:line="276" w:lineRule="auto"/>
        <w:rPr>
          <w:bCs/>
          <w:sz w:val="23"/>
          <w:szCs w:val="23"/>
        </w:rPr>
      </w:pPr>
      <w:r w:rsidRPr="0087738A">
        <w:rPr>
          <w:bCs/>
          <w:sz w:val="23"/>
          <w:szCs w:val="23"/>
        </w:rPr>
        <w:t>La Chambre criminelle est venue préciser sa position par arrêt du 31 octobre 2017 :</w:t>
      </w:r>
    </w:p>
    <w:p w:rsidR="005F75BF" w:rsidRPr="0087738A" w:rsidRDefault="005F75BF" w:rsidP="003406F2">
      <w:pPr>
        <w:pStyle w:val="ParagrapheList"/>
        <w:numPr>
          <w:ilvl w:val="0"/>
          <w:numId w:val="0"/>
        </w:numPr>
        <w:spacing w:line="276" w:lineRule="auto"/>
        <w:ind w:left="720" w:hanging="360"/>
        <w:rPr>
          <w:bCs/>
          <w:sz w:val="23"/>
          <w:szCs w:val="23"/>
        </w:rPr>
      </w:pPr>
    </w:p>
    <w:p w:rsidR="005F75BF" w:rsidRPr="0087738A" w:rsidRDefault="005F75BF" w:rsidP="003406F2">
      <w:pPr>
        <w:pStyle w:val="ParagrapheList"/>
        <w:numPr>
          <w:ilvl w:val="0"/>
          <w:numId w:val="0"/>
        </w:numPr>
        <w:spacing w:line="276" w:lineRule="auto"/>
        <w:ind w:left="1416" w:hanging="12"/>
        <w:rPr>
          <w:bCs/>
          <w:i/>
          <w:sz w:val="23"/>
          <w:szCs w:val="23"/>
        </w:rPr>
      </w:pPr>
      <w:r w:rsidRPr="0087738A">
        <w:rPr>
          <w:bCs/>
          <w:sz w:val="23"/>
          <w:szCs w:val="23"/>
        </w:rPr>
        <w:t>« </w:t>
      </w:r>
      <w:r w:rsidRPr="0087738A">
        <w:rPr>
          <w:bCs/>
          <w:i/>
          <w:sz w:val="23"/>
          <w:szCs w:val="23"/>
        </w:rPr>
        <w:t xml:space="preserve">Mais attendu qu’en statuant ainsi, alors que, d’une part, les prescriptions du deuxième alinéa de l’article 706-30-1 du code de procédure pénale sont applicables à la pesée des produits stupéfiants découverts au cours de l’enquête de flagrance, d’autre part, il est sans emport que le procès-verbal de pesée ne fasse pas ressortir l’intention des fonctionnaires de police de procéder ultérieurement à leur destruction, condition que l’arrêt ajoute à tort à la loi, enfin il ressort des pièces de la procédure, dont la Cour de cassation a le contrôle, que </w:t>
      </w:r>
      <w:r w:rsidRPr="0087738A">
        <w:rPr>
          <w:b/>
          <w:bCs/>
          <w:i/>
          <w:sz w:val="23"/>
          <w:szCs w:val="23"/>
        </w:rPr>
        <w:t>les produits stupéfiants saisis ont été détruits sur ordonnance du juge d’instruction le 4 mai 2016, en sorte que le grief de M. X..., qui ne peut plus solliciter une nouvelle pesée contradictoire, est établi, la chambre de l’instruction a méconnu le sens et la portée du texte susvisé et le principe ci-dessus énoncé</w:t>
      </w:r>
      <w:r w:rsidRPr="0087738A">
        <w:rPr>
          <w:bCs/>
          <w:i/>
          <w:sz w:val="23"/>
          <w:szCs w:val="23"/>
        </w:rPr>
        <w:t xml:space="preserve"> ; </w:t>
      </w:r>
    </w:p>
    <w:p w:rsidR="005F75BF" w:rsidRPr="0087738A" w:rsidRDefault="005F75BF" w:rsidP="003406F2">
      <w:pPr>
        <w:pStyle w:val="ParagrapheList"/>
        <w:numPr>
          <w:ilvl w:val="0"/>
          <w:numId w:val="0"/>
        </w:numPr>
        <w:spacing w:line="276" w:lineRule="auto"/>
        <w:ind w:left="1416" w:hanging="12"/>
        <w:rPr>
          <w:bCs/>
          <w:i/>
          <w:sz w:val="23"/>
          <w:szCs w:val="23"/>
        </w:rPr>
      </w:pPr>
    </w:p>
    <w:p w:rsidR="005F75BF" w:rsidRPr="0087738A" w:rsidRDefault="005F75BF" w:rsidP="003406F2">
      <w:pPr>
        <w:pStyle w:val="ParagrapheList"/>
        <w:numPr>
          <w:ilvl w:val="0"/>
          <w:numId w:val="0"/>
        </w:numPr>
        <w:spacing w:line="276" w:lineRule="auto"/>
        <w:ind w:left="1416" w:hanging="12"/>
        <w:rPr>
          <w:bCs/>
          <w:sz w:val="23"/>
          <w:szCs w:val="23"/>
        </w:rPr>
      </w:pPr>
      <w:r w:rsidRPr="0087738A">
        <w:rPr>
          <w:bCs/>
          <w:i/>
          <w:sz w:val="23"/>
          <w:szCs w:val="23"/>
        </w:rPr>
        <w:t>D’où il suit que la cassation est encourue de ce chef</w:t>
      </w:r>
      <w:r w:rsidRPr="0087738A">
        <w:rPr>
          <w:bCs/>
          <w:sz w:val="23"/>
          <w:szCs w:val="23"/>
        </w:rPr>
        <w:t> »</w:t>
      </w:r>
      <w:r w:rsidRPr="0087738A">
        <w:rPr>
          <w:rStyle w:val="Appelnotedebasdep"/>
          <w:bCs/>
          <w:sz w:val="23"/>
          <w:szCs w:val="23"/>
        </w:rPr>
        <w:footnoteReference w:id="2"/>
      </w:r>
      <w:r w:rsidR="0076546F" w:rsidRPr="0087738A">
        <w:rPr>
          <w:bCs/>
          <w:sz w:val="23"/>
          <w:szCs w:val="23"/>
        </w:rPr>
        <w:t>.</w:t>
      </w:r>
    </w:p>
    <w:p w:rsidR="005F75BF" w:rsidRPr="0087738A" w:rsidRDefault="005F75BF" w:rsidP="003406F2">
      <w:pPr>
        <w:pStyle w:val="ParagrapheList"/>
        <w:numPr>
          <w:ilvl w:val="0"/>
          <w:numId w:val="0"/>
        </w:numPr>
        <w:spacing w:line="276" w:lineRule="auto"/>
        <w:ind w:left="720"/>
        <w:rPr>
          <w:bCs/>
          <w:sz w:val="23"/>
          <w:szCs w:val="23"/>
        </w:rPr>
      </w:pPr>
    </w:p>
    <w:p w:rsidR="00E955B4" w:rsidRPr="0087738A" w:rsidRDefault="00E955B4" w:rsidP="003406F2">
      <w:pPr>
        <w:pStyle w:val="ParagrapheList"/>
        <w:spacing w:line="276" w:lineRule="auto"/>
        <w:rPr>
          <w:bCs/>
          <w:sz w:val="23"/>
          <w:szCs w:val="23"/>
        </w:rPr>
      </w:pPr>
      <w:r w:rsidRPr="0087738A">
        <w:rPr>
          <w:bCs/>
          <w:sz w:val="23"/>
          <w:szCs w:val="23"/>
        </w:rPr>
        <w:t xml:space="preserve">Dit autrement, la Haute juridiction estime que la violation des prescriptions de l’article 706-30-1 entraine l’annulation du procès-verbal de pesée </w:t>
      </w:r>
      <w:r w:rsidRPr="0087738A">
        <w:rPr>
          <w:b/>
          <w:bCs/>
          <w:sz w:val="23"/>
          <w:szCs w:val="23"/>
        </w:rPr>
        <w:t>sans qu’il soit besoin de démontrer un grief, celui-ci étant induit par la violation elle-même</w:t>
      </w:r>
      <w:r w:rsidR="005F75BF" w:rsidRPr="0087738A">
        <w:rPr>
          <w:b/>
          <w:bCs/>
          <w:sz w:val="23"/>
          <w:szCs w:val="23"/>
        </w:rPr>
        <w:t>, dès lors que les stupéfiants ont par la suite été détruits</w:t>
      </w:r>
    </w:p>
    <w:p w:rsidR="00E955B4" w:rsidRPr="0087738A" w:rsidRDefault="00E955B4" w:rsidP="003406F2">
      <w:pPr>
        <w:pStyle w:val="Pieddepage"/>
        <w:tabs>
          <w:tab w:val="clear" w:pos="4536"/>
          <w:tab w:val="clear" w:pos="9072"/>
        </w:tabs>
        <w:spacing w:line="276" w:lineRule="auto"/>
        <w:ind w:left="708"/>
        <w:jc w:val="both"/>
        <w:rPr>
          <w:rFonts w:ascii="Garamond" w:hAnsi="Garamond"/>
          <w:bCs/>
          <w:sz w:val="23"/>
          <w:szCs w:val="23"/>
        </w:rPr>
      </w:pPr>
      <w:r w:rsidRPr="0087738A">
        <w:rPr>
          <w:rFonts w:ascii="Garamond" w:hAnsi="Garamond"/>
          <w:bCs/>
          <w:sz w:val="23"/>
          <w:szCs w:val="23"/>
        </w:rPr>
        <w:t xml:space="preserve">C’est ce que confirme la doctrine, en approuvant sans réserve la solution. À titre d’exemple, le Professeur Jacques Buisson, à l’époque Président de Chambre de l’instruction, écrit : </w:t>
      </w:r>
    </w:p>
    <w:p w:rsidR="00E955B4" w:rsidRPr="0087738A" w:rsidRDefault="00E955B4" w:rsidP="003406F2">
      <w:pPr>
        <w:pStyle w:val="Pieddepage"/>
        <w:tabs>
          <w:tab w:val="clear" w:pos="4536"/>
          <w:tab w:val="clear" w:pos="9072"/>
        </w:tabs>
        <w:spacing w:line="276" w:lineRule="auto"/>
        <w:rPr>
          <w:rFonts w:ascii="Garamond" w:hAnsi="Garamond"/>
          <w:bCs/>
          <w:sz w:val="23"/>
          <w:szCs w:val="23"/>
        </w:rPr>
      </w:pPr>
    </w:p>
    <w:p w:rsidR="00E955B4" w:rsidRPr="0087738A" w:rsidRDefault="00E955B4" w:rsidP="003406F2">
      <w:pPr>
        <w:pStyle w:val="Pieddepage"/>
        <w:tabs>
          <w:tab w:val="clear" w:pos="4536"/>
          <w:tab w:val="clear" w:pos="9072"/>
        </w:tabs>
        <w:spacing w:line="276" w:lineRule="auto"/>
        <w:ind w:left="1416"/>
        <w:jc w:val="both"/>
        <w:rPr>
          <w:rFonts w:ascii="Garamond" w:hAnsi="Garamond"/>
          <w:bCs/>
          <w:i/>
          <w:sz w:val="23"/>
          <w:szCs w:val="23"/>
        </w:rPr>
      </w:pPr>
      <w:r w:rsidRPr="0087738A">
        <w:rPr>
          <w:rFonts w:ascii="Garamond" w:hAnsi="Garamond"/>
          <w:bCs/>
          <w:sz w:val="23"/>
          <w:szCs w:val="23"/>
        </w:rPr>
        <w:t>« </w:t>
      </w:r>
      <w:r w:rsidRPr="0087738A">
        <w:rPr>
          <w:rFonts w:ascii="Garamond" w:hAnsi="Garamond"/>
          <w:b/>
          <w:bCs/>
          <w:i/>
          <w:sz w:val="23"/>
          <w:szCs w:val="23"/>
          <w:u w:val="single"/>
        </w:rPr>
        <w:t>La Cour de cassation a donc considéré que ce formalisme était d'ordre public, la violation de ses règles entraînant, sans démonstration de grief</w:t>
      </w:r>
      <w:r w:rsidRPr="0087738A">
        <w:rPr>
          <w:rFonts w:ascii="Garamond" w:hAnsi="Garamond"/>
          <w:b/>
          <w:bCs/>
          <w:i/>
          <w:sz w:val="23"/>
          <w:szCs w:val="23"/>
        </w:rPr>
        <w:t>, l'annulation des actes qui en sont affectés, en l'espèce de l'acte constatant la pesée de poudre réagissant au test propre de la cocaïne</w:t>
      </w:r>
      <w:r w:rsidRPr="0087738A">
        <w:rPr>
          <w:rFonts w:ascii="Garamond" w:hAnsi="Garamond"/>
          <w:bCs/>
          <w:i/>
          <w:sz w:val="23"/>
          <w:szCs w:val="23"/>
        </w:rPr>
        <w:t>.</w:t>
      </w:r>
    </w:p>
    <w:p w:rsidR="00E955B4" w:rsidRPr="0087738A" w:rsidRDefault="00E955B4" w:rsidP="003406F2">
      <w:pPr>
        <w:pStyle w:val="Pieddepage"/>
        <w:tabs>
          <w:tab w:val="clear" w:pos="4536"/>
          <w:tab w:val="clear" w:pos="9072"/>
        </w:tabs>
        <w:spacing w:line="276" w:lineRule="auto"/>
        <w:ind w:left="1416"/>
        <w:jc w:val="both"/>
        <w:rPr>
          <w:rFonts w:ascii="Garamond" w:hAnsi="Garamond"/>
          <w:bCs/>
          <w:sz w:val="23"/>
          <w:szCs w:val="23"/>
        </w:rPr>
      </w:pPr>
      <w:r w:rsidRPr="0087738A">
        <w:rPr>
          <w:rFonts w:ascii="Garamond" w:hAnsi="Garamond"/>
          <w:bCs/>
          <w:i/>
          <w:sz w:val="23"/>
          <w:szCs w:val="23"/>
        </w:rPr>
        <w:br/>
      </w:r>
      <w:r w:rsidRPr="0087738A">
        <w:rPr>
          <w:rFonts w:ascii="Garamond" w:hAnsi="Garamond"/>
          <w:b/>
          <w:bCs/>
          <w:i/>
          <w:sz w:val="23"/>
          <w:szCs w:val="23"/>
          <w:u w:val="single"/>
        </w:rPr>
        <w:t>Cette position n'est pas discutable</w:t>
      </w:r>
      <w:r w:rsidRPr="0087738A">
        <w:rPr>
          <w:rFonts w:ascii="Garamond" w:hAnsi="Garamond"/>
          <w:bCs/>
          <w:i/>
          <w:sz w:val="23"/>
          <w:szCs w:val="23"/>
        </w:rPr>
        <w:t xml:space="preserve">. A raison de son objet et de sa finalité, ce formalisme s'attache directement aux droits et intérêts du mis en cause, dont la violation « porte nécessairement atteinte » à ceux-ci, pour reprendre l'expression de la Cour de cassation (Crim. 3 déc. 1996, Bull. crim. n° 443 ; 9 mai 2001, BICC n° </w:t>
      </w:r>
      <w:r w:rsidR="00C800FD" w:rsidRPr="0087738A">
        <w:rPr>
          <w:rFonts w:ascii="Garamond" w:hAnsi="Garamond"/>
          <w:bCs/>
          <w:i/>
          <w:sz w:val="23"/>
          <w:szCs w:val="23"/>
        </w:rPr>
        <w:t>766)</w:t>
      </w:r>
      <w:r w:rsidR="00C800FD" w:rsidRPr="0087738A">
        <w:rPr>
          <w:rFonts w:ascii="Garamond" w:hAnsi="Garamond"/>
          <w:bCs/>
          <w:sz w:val="23"/>
          <w:szCs w:val="23"/>
        </w:rPr>
        <w:t> »</w:t>
      </w:r>
      <w:r w:rsidR="00C800FD" w:rsidRPr="0087738A">
        <w:rPr>
          <w:rStyle w:val="Appelnotedebasdep"/>
          <w:rFonts w:ascii="Garamond" w:hAnsi="Garamond"/>
          <w:bCs/>
          <w:sz w:val="23"/>
          <w:szCs w:val="23"/>
        </w:rPr>
        <w:footnoteReference w:id="3"/>
      </w:r>
      <w:r w:rsidRPr="0087738A">
        <w:rPr>
          <w:rFonts w:ascii="Garamond" w:hAnsi="Garamond"/>
          <w:bCs/>
          <w:sz w:val="23"/>
          <w:szCs w:val="23"/>
        </w:rPr>
        <w:t>.</w:t>
      </w:r>
    </w:p>
    <w:p w:rsidR="00E955B4" w:rsidRPr="0087738A" w:rsidRDefault="00E955B4" w:rsidP="003406F2">
      <w:pPr>
        <w:pStyle w:val="Paragraphedeliste1"/>
        <w:numPr>
          <w:ilvl w:val="0"/>
          <w:numId w:val="0"/>
        </w:numPr>
        <w:spacing w:line="276" w:lineRule="auto"/>
        <w:ind w:left="720"/>
        <w:rPr>
          <w:rFonts w:cs="Calibri"/>
          <w:sz w:val="23"/>
          <w:szCs w:val="23"/>
        </w:rPr>
      </w:pPr>
    </w:p>
    <w:p w:rsidR="00104C71" w:rsidRPr="0087738A" w:rsidRDefault="00104C71" w:rsidP="003406F2">
      <w:pPr>
        <w:pStyle w:val="Paragraphedeliste1"/>
        <w:numPr>
          <w:ilvl w:val="0"/>
          <w:numId w:val="0"/>
        </w:numPr>
        <w:spacing w:line="276" w:lineRule="auto"/>
        <w:ind w:left="720" w:hanging="360"/>
        <w:rPr>
          <w:b/>
          <w:sz w:val="23"/>
          <w:szCs w:val="23"/>
        </w:rPr>
      </w:pPr>
    </w:p>
    <w:p w:rsidR="003F1FCE" w:rsidRPr="0087738A" w:rsidRDefault="003F1FCE" w:rsidP="003406F2">
      <w:pPr>
        <w:pStyle w:val="Paragraphedeliste1"/>
        <w:numPr>
          <w:ilvl w:val="0"/>
          <w:numId w:val="0"/>
        </w:numPr>
        <w:spacing w:line="276" w:lineRule="auto"/>
        <w:ind w:left="720" w:hanging="360"/>
        <w:rPr>
          <w:b/>
          <w:sz w:val="23"/>
          <w:szCs w:val="23"/>
        </w:rPr>
      </w:pPr>
    </w:p>
    <w:p w:rsidR="003F1FCE" w:rsidRPr="0087738A" w:rsidRDefault="003F1FCE" w:rsidP="003406F2">
      <w:pPr>
        <w:pStyle w:val="Paragraphedeliste1"/>
        <w:numPr>
          <w:ilvl w:val="0"/>
          <w:numId w:val="0"/>
        </w:numPr>
        <w:spacing w:line="276" w:lineRule="auto"/>
        <w:ind w:left="720" w:hanging="360"/>
        <w:rPr>
          <w:b/>
          <w:sz w:val="23"/>
          <w:szCs w:val="23"/>
        </w:rPr>
      </w:pPr>
    </w:p>
    <w:p w:rsidR="00104C71" w:rsidRPr="0087738A" w:rsidRDefault="00104C71" w:rsidP="003406F2">
      <w:pPr>
        <w:pStyle w:val="Paragraphedeliste1"/>
        <w:numPr>
          <w:ilvl w:val="0"/>
          <w:numId w:val="0"/>
        </w:numPr>
        <w:spacing w:line="276" w:lineRule="auto"/>
        <w:ind w:left="720" w:hanging="360"/>
        <w:rPr>
          <w:b/>
          <w:sz w:val="23"/>
          <w:szCs w:val="23"/>
        </w:rPr>
      </w:pPr>
    </w:p>
    <w:p w:rsidR="00104C71" w:rsidRPr="0087738A" w:rsidRDefault="00104C71" w:rsidP="003406F2">
      <w:pPr>
        <w:pStyle w:val="Paragraphedeliste1"/>
        <w:numPr>
          <w:ilvl w:val="0"/>
          <w:numId w:val="0"/>
        </w:numPr>
        <w:spacing w:line="276" w:lineRule="auto"/>
        <w:ind w:left="720" w:hanging="360"/>
        <w:rPr>
          <w:b/>
          <w:sz w:val="23"/>
          <w:szCs w:val="23"/>
        </w:rPr>
      </w:pPr>
    </w:p>
    <w:p w:rsidR="00F95E70" w:rsidRPr="0087738A" w:rsidRDefault="00F95E70" w:rsidP="003406F2">
      <w:pPr>
        <w:pStyle w:val="Paragraphedeliste1"/>
        <w:numPr>
          <w:ilvl w:val="1"/>
          <w:numId w:val="7"/>
        </w:numPr>
        <w:spacing w:line="276" w:lineRule="auto"/>
        <w:rPr>
          <w:b/>
          <w:sz w:val="23"/>
          <w:szCs w:val="23"/>
        </w:rPr>
      </w:pPr>
      <w:r w:rsidRPr="0087738A">
        <w:rPr>
          <w:b/>
          <w:sz w:val="23"/>
          <w:szCs w:val="23"/>
        </w:rPr>
        <w:lastRenderedPageBreak/>
        <w:t>En l’espèce</w:t>
      </w:r>
    </w:p>
    <w:p w:rsidR="00F95E70" w:rsidRPr="0087738A" w:rsidRDefault="00F95E70" w:rsidP="003406F2">
      <w:pPr>
        <w:pStyle w:val="Paragraphedeliste1"/>
        <w:numPr>
          <w:ilvl w:val="0"/>
          <w:numId w:val="0"/>
        </w:numPr>
        <w:spacing w:line="276" w:lineRule="auto"/>
        <w:ind w:left="1416"/>
        <w:rPr>
          <w:sz w:val="23"/>
          <w:szCs w:val="23"/>
        </w:rPr>
      </w:pPr>
    </w:p>
    <w:p w:rsidR="003A7614" w:rsidRPr="0087738A" w:rsidRDefault="003A7614" w:rsidP="003406F2">
      <w:pPr>
        <w:pStyle w:val="Paragraphedeliste1"/>
        <w:spacing w:line="276" w:lineRule="auto"/>
        <w:rPr>
          <w:i/>
          <w:sz w:val="23"/>
          <w:szCs w:val="23"/>
        </w:rPr>
      </w:pPr>
      <w:r w:rsidRPr="0087738A">
        <w:rPr>
          <w:sz w:val="23"/>
          <w:szCs w:val="23"/>
        </w:rPr>
        <w:t xml:space="preserve">En l’espèce, </w:t>
      </w:r>
      <w:r w:rsidR="00A774D8" w:rsidRPr="0087738A">
        <w:rPr>
          <w:sz w:val="23"/>
          <w:szCs w:val="23"/>
        </w:rPr>
        <w:t xml:space="preserve"> </w:t>
      </w:r>
    </w:p>
    <w:p w:rsidR="00F95E70" w:rsidRPr="0087738A" w:rsidRDefault="00F95E70" w:rsidP="003406F2">
      <w:pPr>
        <w:pStyle w:val="Paragraphedeliste1"/>
        <w:numPr>
          <w:ilvl w:val="0"/>
          <w:numId w:val="0"/>
        </w:numPr>
        <w:spacing w:line="276" w:lineRule="auto"/>
        <w:ind w:left="720" w:hanging="360"/>
        <w:rPr>
          <w:sz w:val="23"/>
          <w:szCs w:val="23"/>
        </w:rPr>
      </w:pPr>
    </w:p>
    <w:p w:rsidR="00F95E70" w:rsidRPr="0087738A" w:rsidRDefault="00F95E70" w:rsidP="003406F2">
      <w:pPr>
        <w:pStyle w:val="Paragraphedeliste1"/>
        <w:numPr>
          <w:ilvl w:val="0"/>
          <w:numId w:val="0"/>
        </w:numPr>
        <w:spacing w:line="276" w:lineRule="auto"/>
        <w:ind w:left="720" w:hanging="360"/>
        <w:rPr>
          <w:sz w:val="23"/>
          <w:szCs w:val="23"/>
        </w:rPr>
      </w:pPr>
    </w:p>
    <w:p w:rsidR="00F95E70" w:rsidRPr="0087738A" w:rsidRDefault="00F95E70" w:rsidP="003406F2">
      <w:pPr>
        <w:pStyle w:val="Paragraphedeliste1"/>
        <w:numPr>
          <w:ilvl w:val="0"/>
          <w:numId w:val="0"/>
        </w:numPr>
        <w:spacing w:line="276" w:lineRule="auto"/>
        <w:ind w:left="720" w:hanging="360"/>
        <w:rPr>
          <w:sz w:val="23"/>
          <w:szCs w:val="23"/>
        </w:rPr>
      </w:pPr>
    </w:p>
    <w:p w:rsidR="00F95E70" w:rsidRPr="0087738A" w:rsidRDefault="00F95E70" w:rsidP="003406F2">
      <w:pPr>
        <w:pStyle w:val="Paragraphedeliste1"/>
        <w:numPr>
          <w:ilvl w:val="0"/>
          <w:numId w:val="0"/>
        </w:numPr>
        <w:spacing w:line="276" w:lineRule="auto"/>
        <w:ind w:left="720" w:hanging="360"/>
        <w:rPr>
          <w:sz w:val="23"/>
          <w:szCs w:val="23"/>
        </w:rPr>
      </w:pPr>
    </w:p>
    <w:p w:rsidR="003F1FCE" w:rsidRPr="0087738A" w:rsidRDefault="003F1FCE" w:rsidP="003406F2">
      <w:pPr>
        <w:pStyle w:val="Paragraphedeliste1"/>
        <w:numPr>
          <w:ilvl w:val="0"/>
          <w:numId w:val="0"/>
        </w:numPr>
        <w:spacing w:line="276" w:lineRule="auto"/>
        <w:ind w:left="720" w:hanging="360"/>
        <w:rPr>
          <w:sz w:val="23"/>
          <w:szCs w:val="23"/>
        </w:rPr>
      </w:pPr>
    </w:p>
    <w:p w:rsidR="003F1FCE" w:rsidRPr="0087738A" w:rsidRDefault="003F1FCE" w:rsidP="003406F2">
      <w:pPr>
        <w:pStyle w:val="Paragraphedeliste1"/>
        <w:numPr>
          <w:ilvl w:val="0"/>
          <w:numId w:val="0"/>
        </w:numPr>
        <w:spacing w:line="276" w:lineRule="auto"/>
        <w:ind w:left="720" w:hanging="360"/>
        <w:rPr>
          <w:sz w:val="23"/>
          <w:szCs w:val="23"/>
        </w:rPr>
      </w:pPr>
    </w:p>
    <w:p w:rsidR="003F1FCE" w:rsidRPr="0087738A" w:rsidRDefault="003F1FCE" w:rsidP="003406F2">
      <w:pPr>
        <w:pStyle w:val="Paragraphedeliste1"/>
        <w:numPr>
          <w:ilvl w:val="0"/>
          <w:numId w:val="0"/>
        </w:numPr>
        <w:spacing w:line="276" w:lineRule="auto"/>
        <w:ind w:left="720" w:hanging="360"/>
        <w:rPr>
          <w:sz w:val="23"/>
          <w:szCs w:val="23"/>
        </w:rPr>
      </w:pPr>
    </w:p>
    <w:p w:rsidR="00F95E70" w:rsidRPr="0087738A" w:rsidRDefault="00F95E70" w:rsidP="003406F2">
      <w:pPr>
        <w:pStyle w:val="Paragraphedeliste1"/>
        <w:numPr>
          <w:ilvl w:val="0"/>
          <w:numId w:val="0"/>
        </w:numPr>
        <w:spacing w:line="276" w:lineRule="auto"/>
        <w:ind w:left="720" w:hanging="360"/>
        <w:rPr>
          <w:i/>
          <w:sz w:val="23"/>
          <w:szCs w:val="23"/>
        </w:rPr>
      </w:pPr>
    </w:p>
    <w:p w:rsidR="00A774D8" w:rsidRPr="0087738A" w:rsidRDefault="00A774D8" w:rsidP="003406F2">
      <w:pPr>
        <w:pStyle w:val="Paragraphedeliste1"/>
        <w:numPr>
          <w:ilvl w:val="0"/>
          <w:numId w:val="0"/>
        </w:numPr>
        <w:spacing w:line="276" w:lineRule="auto"/>
        <w:ind w:left="720"/>
        <w:rPr>
          <w:i/>
          <w:sz w:val="23"/>
          <w:szCs w:val="23"/>
        </w:rPr>
      </w:pPr>
    </w:p>
    <w:p w:rsidR="00F1660C" w:rsidRPr="0087738A" w:rsidRDefault="00F1660C" w:rsidP="003406F2">
      <w:pPr>
        <w:pStyle w:val="Paragraphedeliste1"/>
        <w:numPr>
          <w:ilvl w:val="0"/>
          <w:numId w:val="0"/>
        </w:numPr>
        <w:spacing w:line="276" w:lineRule="auto"/>
        <w:ind w:left="720"/>
        <w:rPr>
          <w:sz w:val="23"/>
          <w:szCs w:val="23"/>
        </w:rPr>
      </w:pPr>
    </w:p>
    <w:p w:rsidR="00B42DCC" w:rsidRPr="0087738A" w:rsidRDefault="00B42DCC" w:rsidP="003406F2">
      <w:pPr>
        <w:spacing w:line="276" w:lineRule="auto"/>
        <w:rPr>
          <w:sz w:val="23"/>
          <w:szCs w:val="23"/>
        </w:rPr>
      </w:pPr>
    </w:p>
    <w:p w:rsidR="005147F2" w:rsidRPr="0087738A" w:rsidRDefault="00B42DCC" w:rsidP="003406F2">
      <w:pPr>
        <w:pStyle w:val="Paragraphedeliste1"/>
        <w:tabs>
          <w:tab w:val="num" w:pos="360"/>
        </w:tabs>
        <w:spacing w:line="276" w:lineRule="auto"/>
        <w:rPr>
          <w:sz w:val="23"/>
          <w:szCs w:val="23"/>
        </w:rPr>
      </w:pPr>
      <w:r w:rsidRPr="0087738A">
        <w:rPr>
          <w:sz w:val="23"/>
          <w:szCs w:val="23"/>
        </w:rPr>
        <w:t xml:space="preserve">Enfin, s’agissant d’un formalisme d’ordre public, le Tribunal fera application du dernier alinéa de l’article 459 du CPP et rendra sa décision </w:t>
      </w:r>
      <w:r w:rsidRPr="0087738A">
        <w:rPr>
          <w:i/>
          <w:sz w:val="23"/>
          <w:szCs w:val="23"/>
        </w:rPr>
        <w:t>in limine litis</w:t>
      </w:r>
      <w:r w:rsidRPr="0087738A">
        <w:rPr>
          <w:sz w:val="23"/>
          <w:szCs w:val="23"/>
        </w:rPr>
        <w:t>.</w:t>
      </w:r>
      <w:r w:rsidR="005147F2" w:rsidRPr="0087738A">
        <w:rPr>
          <w:sz w:val="23"/>
          <w:szCs w:val="23"/>
        </w:rPr>
        <w:br w:type="page"/>
      </w:r>
    </w:p>
    <w:p w:rsidR="003171D1" w:rsidRPr="0087738A" w:rsidRDefault="003171D1" w:rsidP="003406F2">
      <w:pPr>
        <w:pStyle w:val="Paragraphedeliste1"/>
        <w:numPr>
          <w:ilvl w:val="0"/>
          <w:numId w:val="0"/>
        </w:numPr>
        <w:spacing w:line="276" w:lineRule="auto"/>
        <w:jc w:val="center"/>
        <w:rPr>
          <w:b/>
          <w:smallCaps/>
          <w:sz w:val="23"/>
          <w:szCs w:val="23"/>
        </w:rPr>
      </w:pPr>
      <w:r w:rsidRPr="0087738A">
        <w:rPr>
          <w:b/>
          <w:smallCaps/>
          <w:sz w:val="23"/>
          <w:szCs w:val="23"/>
        </w:rPr>
        <w:lastRenderedPageBreak/>
        <w:t>Par ces motifs</w:t>
      </w:r>
    </w:p>
    <w:p w:rsidR="003171D1" w:rsidRPr="0087738A" w:rsidRDefault="003171D1" w:rsidP="003406F2">
      <w:pPr>
        <w:pStyle w:val="Paragraphedeliste1"/>
        <w:numPr>
          <w:ilvl w:val="0"/>
          <w:numId w:val="0"/>
        </w:numPr>
        <w:spacing w:line="276" w:lineRule="auto"/>
        <w:ind w:left="720"/>
        <w:rPr>
          <w:sz w:val="23"/>
          <w:szCs w:val="23"/>
        </w:rPr>
      </w:pPr>
    </w:p>
    <w:p w:rsidR="003171D1" w:rsidRPr="0087738A" w:rsidRDefault="003171D1" w:rsidP="003406F2">
      <w:pPr>
        <w:pStyle w:val="Paragraphedeliste1"/>
        <w:numPr>
          <w:ilvl w:val="0"/>
          <w:numId w:val="0"/>
        </w:numPr>
        <w:spacing w:line="276" w:lineRule="auto"/>
        <w:ind w:left="720" w:hanging="360"/>
        <w:rPr>
          <w:sz w:val="23"/>
          <w:szCs w:val="23"/>
        </w:rPr>
      </w:pPr>
    </w:p>
    <w:p w:rsidR="003171D1" w:rsidRPr="0087738A" w:rsidRDefault="003171D1" w:rsidP="003406F2">
      <w:pPr>
        <w:pStyle w:val="Paragraphedeliste1"/>
        <w:numPr>
          <w:ilvl w:val="0"/>
          <w:numId w:val="0"/>
        </w:numPr>
        <w:spacing w:line="276" w:lineRule="auto"/>
        <w:ind w:left="720" w:hanging="360"/>
        <w:rPr>
          <w:sz w:val="23"/>
          <w:szCs w:val="23"/>
        </w:rPr>
      </w:pPr>
      <w:r w:rsidRPr="0087738A">
        <w:rPr>
          <w:sz w:val="23"/>
          <w:szCs w:val="23"/>
        </w:rPr>
        <w:t>Vu l</w:t>
      </w:r>
      <w:r w:rsidR="00A774D8" w:rsidRPr="0087738A">
        <w:rPr>
          <w:sz w:val="23"/>
          <w:szCs w:val="23"/>
        </w:rPr>
        <w:t>es articles préliminaire,</w:t>
      </w:r>
      <w:r w:rsidR="00205AB9" w:rsidRPr="0087738A">
        <w:rPr>
          <w:sz w:val="23"/>
          <w:szCs w:val="23"/>
        </w:rPr>
        <w:t xml:space="preserve"> </w:t>
      </w:r>
      <w:r w:rsidR="006461B9" w:rsidRPr="0087738A">
        <w:rPr>
          <w:sz w:val="23"/>
          <w:szCs w:val="23"/>
        </w:rPr>
        <w:t>385</w:t>
      </w:r>
      <w:r w:rsidR="00393590" w:rsidRPr="0087738A">
        <w:rPr>
          <w:sz w:val="23"/>
          <w:szCs w:val="23"/>
        </w:rPr>
        <w:t>, 459</w:t>
      </w:r>
      <w:r w:rsidR="006461B9" w:rsidRPr="0087738A">
        <w:rPr>
          <w:sz w:val="23"/>
          <w:szCs w:val="23"/>
        </w:rPr>
        <w:t xml:space="preserve"> et </w:t>
      </w:r>
      <w:r w:rsidR="005147F2" w:rsidRPr="0087738A">
        <w:rPr>
          <w:sz w:val="23"/>
          <w:szCs w:val="23"/>
        </w:rPr>
        <w:t xml:space="preserve">706-30-1 </w:t>
      </w:r>
      <w:r w:rsidRPr="0087738A">
        <w:rPr>
          <w:sz w:val="23"/>
          <w:szCs w:val="23"/>
        </w:rPr>
        <w:t>du Code de procédure pénale,</w:t>
      </w:r>
    </w:p>
    <w:p w:rsidR="006461B9" w:rsidRPr="0087738A" w:rsidRDefault="006461B9" w:rsidP="003406F2">
      <w:pPr>
        <w:pStyle w:val="Paragraphedeliste1"/>
        <w:numPr>
          <w:ilvl w:val="0"/>
          <w:numId w:val="0"/>
        </w:numPr>
        <w:spacing w:line="276" w:lineRule="auto"/>
        <w:ind w:left="720" w:hanging="360"/>
        <w:rPr>
          <w:sz w:val="23"/>
          <w:szCs w:val="23"/>
        </w:rPr>
      </w:pPr>
    </w:p>
    <w:p w:rsidR="003171D1" w:rsidRPr="0087738A" w:rsidRDefault="003171D1" w:rsidP="003406F2">
      <w:pPr>
        <w:pStyle w:val="Paragraphedeliste1"/>
        <w:numPr>
          <w:ilvl w:val="0"/>
          <w:numId w:val="0"/>
        </w:numPr>
        <w:spacing w:line="276" w:lineRule="auto"/>
        <w:ind w:left="720" w:hanging="360"/>
        <w:rPr>
          <w:sz w:val="23"/>
          <w:szCs w:val="23"/>
        </w:rPr>
      </w:pPr>
      <w:r w:rsidRPr="0087738A">
        <w:rPr>
          <w:sz w:val="23"/>
          <w:szCs w:val="23"/>
        </w:rPr>
        <w:t>Vu les présentes conclusions</w:t>
      </w:r>
      <w:r w:rsidR="005147F2" w:rsidRPr="0087738A">
        <w:rPr>
          <w:sz w:val="23"/>
          <w:szCs w:val="23"/>
        </w:rPr>
        <w:t xml:space="preserve"> et la jurisprudence y citée</w:t>
      </w:r>
      <w:r w:rsidRPr="0087738A">
        <w:rPr>
          <w:sz w:val="23"/>
          <w:szCs w:val="23"/>
        </w:rPr>
        <w:t>,</w:t>
      </w:r>
    </w:p>
    <w:p w:rsidR="003171D1" w:rsidRPr="0087738A" w:rsidRDefault="003171D1" w:rsidP="003406F2">
      <w:pPr>
        <w:pStyle w:val="Paragraphedeliste1"/>
        <w:numPr>
          <w:ilvl w:val="0"/>
          <w:numId w:val="0"/>
        </w:numPr>
        <w:spacing w:line="276" w:lineRule="auto"/>
        <w:ind w:left="720" w:hanging="360"/>
        <w:rPr>
          <w:sz w:val="23"/>
          <w:szCs w:val="23"/>
        </w:rPr>
      </w:pPr>
    </w:p>
    <w:p w:rsidR="003171D1" w:rsidRPr="0087738A" w:rsidRDefault="003171D1" w:rsidP="003406F2">
      <w:pPr>
        <w:pStyle w:val="Paragraphedeliste1"/>
        <w:numPr>
          <w:ilvl w:val="0"/>
          <w:numId w:val="0"/>
        </w:numPr>
        <w:spacing w:line="276" w:lineRule="auto"/>
        <w:ind w:left="720" w:hanging="360"/>
        <w:rPr>
          <w:sz w:val="23"/>
          <w:szCs w:val="23"/>
        </w:rPr>
      </w:pPr>
      <w:r w:rsidRPr="0087738A">
        <w:rPr>
          <w:sz w:val="23"/>
          <w:szCs w:val="23"/>
        </w:rPr>
        <w:t>Il est demandé au Tribunal de :</w:t>
      </w:r>
    </w:p>
    <w:p w:rsidR="003171D1" w:rsidRPr="0087738A" w:rsidRDefault="003171D1" w:rsidP="003406F2">
      <w:pPr>
        <w:pStyle w:val="Paragraphedeliste1"/>
        <w:numPr>
          <w:ilvl w:val="0"/>
          <w:numId w:val="0"/>
        </w:numPr>
        <w:spacing w:line="276" w:lineRule="auto"/>
        <w:ind w:left="720" w:hanging="360"/>
        <w:rPr>
          <w:sz w:val="23"/>
          <w:szCs w:val="23"/>
        </w:rPr>
      </w:pPr>
    </w:p>
    <w:p w:rsidR="00304175" w:rsidRPr="0087738A" w:rsidRDefault="00304175" w:rsidP="003406F2">
      <w:pPr>
        <w:pStyle w:val="Paragraphedeliste1"/>
        <w:numPr>
          <w:ilvl w:val="0"/>
          <w:numId w:val="6"/>
        </w:numPr>
        <w:spacing w:line="276" w:lineRule="auto"/>
        <w:rPr>
          <w:sz w:val="23"/>
          <w:szCs w:val="23"/>
        </w:rPr>
      </w:pPr>
      <w:r w:rsidRPr="0087738A">
        <w:rPr>
          <w:b/>
          <w:sz w:val="23"/>
          <w:szCs w:val="23"/>
        </w:rPr>
        <w:t>Dire et juger</w:t>
      </w:r>
      <w:r w:rsidRPr="0087738A">
        <w:rPr>
          <w:sz w:val="23"/>
          <w:szCs w:val="23"/>
        </w:rPr>
        <w:t xml:space="preserve"> recevable l’exception de nullité ;</w:t>
      </w:r>
    </w:p>
    <w:p w:rsidR="00393590" w:rsidRPr="0087738A" w:rsidRDefault="00393590" w:rsidP="003406F2">
      <w:pPr>
        <w:pStyle w:val="Paragraphedeliste1"/>
        <w:numPr>
          <w:ilvl w:val="0"/>
          <w:numId w:val="0"/>
        </w:numPr>
        <w:spacing w:line="276" w:lineRule="auto"/>
        <w:ind w:left="1080"/>
        <w:rPr>
          <w:sz w:val="23"/>
          <w:szCs w:val="23"/>
        </w:rPr>
      </w:pPr>
    </w:p>
    <w:p w:rsidR="00393590" w:rsidRPr="0087738A" w:rsidRDefault="00393590" w:rsidP="003406F2">
      <w:pPr>
        <w:pStyle w:val="Paragraphedeliste1"/>
        <w:numPr>
          <w:ilvl w:val="0"/>
          <w:numId w:val="6"/>
        </w:numPr>
        <w:spacing w:line="276" w:lineRule="auto"/>
        <w:rPr>
          <w:sz w:val="23"/>
          <w:szCs w:val="23"/>
        </w:rPr>
      </w:pPr>
      <w:r w:rsidRPr="0087738A">
        <w:rPr>
          <w:b/>
          <w:sz w:val="23"/>
          <w:szCs w:val="23"/>
        </w:rPr>
        <w:t>Statuer</w:t>
      </w:r>
      <w:r w:rsidRPr="0087738A">
        <w:rPr>
          <w:sz w:val="23"/>
          <w:szCs w:val="23"/>
        </w:rPr>
        <w:t xml:space="preserve"> par jugement séparé ;</w:t>
      </w:r>
    </w:p>
    <w:p w:rsidR="00151CAB" w:rsidRPr="0087738A" w:rsidRDefault="00151CAB" w:rsidP="003406F2">
      <w:pPr>
        <w:pStyle w:val="Paragraphedeliste1"/>
        <w:numPr>
          <w:ilvl w:val="0"/>
          <w:numId w:val="0"/>
        </w:numPr>
        <w:spacing w:line="276" w:lineRule="auto"/>
        <w:ind w:left="1080"/>
        <w:rPr>
          <w:sz w:val="23"/>
          <w:szCs w:val="23"/>
        </w:rPr>
      </w:pPr>
    </w:p>
    <w:p w:rsidR="00304175" w:rsidRPr="0087738A" w:rsidRDefault="003171D1" w:rsidP="003406F2">
      <w:pPr>
        <w:pStyle w:val="Paragraphedeliste1"/>
        <w:numPr>
          <w:ilvl w:val="0"/>
          <w:numId w:val="6"/>
        </w:numPr>
        <w:spacing w:line="276" w:lineRule="auto"/>
        <w:rPr>
          <w:sz w:val="23"/>
          <w:szCs w:val="23"/>
        </w:rPr>
      </w:pPr>
      <w:r w:rsidRPr="0087738A">
        <w:rPr>
          <w:b/>
          <w:sz w:val="23"/>
          <w:szCs w:val="23"/>
        </w:rPr>
        <w:t>Constater</w:t>
      </w:r>
      <w:r w:rsidRPr="0087738A">
        <w:rPr>
          <w:sz w:val="23"/>
          <w:szCs w:val="23"/>
        </w:rPr>
        <w:t xml:space="preserve"> </w:t>
      </w:r>
      <w:r w:rsidR="005147F2" w:rsidRPr="0087738A">
        <w:rPr>
          <w:sz w:val="23"/>
          <w:szCs w:val="23"/>
        </w:rPr>
        <w:t xml:space="preserve">qu’il est en l’état de la procédure impossible au Tribunal de s’assurer </w:t>
      </w:r>
      <w:r w:rsidR="005147F2" w:rsidRPr="0087738A">
        <w:rPr>
          <w:sz w:val="23"/>
          <w:szCs w:val="23"/>
        </w:rPr>
        <w:br/>
        <w:t xml:space="preserve">que </w:t>
      </w:r>
      <w:r w:rsidR="0087738A" w:rsidRPr="0087738A">
        <w:rPr>
          <w:sz w:val="23"/>
          <w:szCs w:val="23"/>
        </w:rPr>
        <w:t xml:space="preserve">le Concluant </w:t>
      </w:r>
      <w:r w:rsidR="005147F2" w:rsidRPr="0087738A">
        <w:rPr>
          <w:sz w:val="23"/>
          <w:szCs w:val="23"/>
        </w:rPr>
        <w:t>était présent lors de la pesée des stupéfiants querellés ;</w:t>
      </w:r>
    </w:p>
    <w:p w:rsidR="00304175" w:rsidRPr="0087738A" w:rsidRDefault="00304175" w:rsidP="003406F2">
      <w:pPr>
        <w:pStyle w:val="Paragraphedeliste1"/>
        <w:numPr>
          <w:ilvl w:val="0"/>
          <w:numId w:val="0"/>
        </w:numPr>
        <w:spacing w:line="276" w:lineRule="auto"/>
        <w:ind w:left="1080"/>
        <w:rPr>
          <w:sz w:val="23"/>
          <w:szCs w:val="23"/>
        </w:rPr>
      </w:pPr>
    </w:p>
    <w:p w:rsidR="003171D1" w:rsidRPr="0087738A" w:rsidRDefault="00304175" w:rsidP="003406F2">
      <w:pPr>
        <w:pStyle w:val="Paragraphedeliste1"/>
        <w:numPr>
          <w:ilvl w:val="0"/>
          <w:numId w:val="6"/>
        </w:numPr>
        <w:spacing w:line="276" w:lineRule="auto"/>
        <w:rPr>
          <w:b/>
          <w:sz w:val="23"/>
          <w:szCs w:val="23"/>
        </w:rPr>
      </w:pPr>
      <w:r w:rsidRPr="0087738A">
        <w:rPr>
          <w:b/>
          <w:sz w:val="23"/>
          <w:szCs w:val="23"/>
        </w:rPr>
        <w:t xml:space="preserve">Constater </w:t>
      </w:r>
      <w:r w:rsidR="006461B9" w:rsidRPr="0087738A">
        <w:rPr>
          <w:sz w:val="23"/>
          <w:szCs w:val="23"/>
        </w:rPr>
        <w:t xml:space="preserve">la violation de </w:t>
      </w:r>
      <w:r w:rsidR="005147F2" w:rsidRPr="0087738A">
        <w:rPr>
          <w:sz w:val="23"/>
          <w:szCs w:val="23"/>
        </w:rPr>
        <w:t>706-30-1 du Code de procédure pénale</w:t>
      </w:r>
      <w:r w:rsidR="005C3EAA" w:rsidRPr="0087738A">
        <w:rPr>
          <w:sz w:val="23"/>
          <w:szCs w:val="23"/>
        </w:rPr>
        <w:t> ;</w:t>
      </w:r>
    </w:p>
    <w:p w:rsidR="00266404" w:rsidRPr="0087738A" w:rsidRDefault="00266404" w:rsidP="003406F2">
      <w:pPr>
        <w:pStyle w:val="Paragraphedeliste1"/>
        <w:numPr>
          <w:ilvl w:val="0"/>
          <w:numId w:val="0"/>
        </w:numPr>
        <w:spacing w:line="276" w:lineRule="auto"/>
        <w:ind w:left="1080"/>
        <w:rPr>
          <w:sz w:val="23"/>
          <w:szCs w:val="23"/>
        </w:rPr>
      </w:pPr>
    </w:p>
    <w:p w:rsidR="00266404" w:rsidRPr="0087738A" w:rsidRDefault="005C3EAA" w:rsidP="003406F2">
      <w:pPr>
        <w:pStyle w:val="Paragraphedeliste1"/>
        <w:numPr>
          <w:ilvl w:val="0"/>
          <w:numId w:val="6"/>
        </w:numPr>
        <w:spacing w:line="276" w:lineRule="auto"/>
        <w:rPr>
          <w:sz w:val="23"/>
          <w:szCs w:val="23"/>
        </w:rPr>
      </w:pPr>
      <w:r w:rsidRPr="0087738A">
        <w:rPr>
          <w:b/>
          <w:sz w:val="23"/>
          <w:szCs w:val="23"/>
        </w:rPr>
        <w:t>Prononcer</w:t>
      </w:r>
      <w:r w:rsidR="00266404" w:rsidRPr="0087738A">
        <w:rPr>
          <w:sz w:val="23"/>
          <w:szCs w:val="23"/>
        </w:rPr>
        <w:t xml:space="preserve"> la nullité </w:t>
      </w:r>
      <w:r w:rsidR="005147F2" w:rsidRPr="0087738A">
        <w:rPr>
          <w:sz w:val="23"/>
          <w:szCs w:val="23"/>
        </w:rPr>
        <w:t>du procès-verbal de pesée et de tous les actes dont il fut le support nécessaire.</w:t>
      </w:r>
    </w:p>
    <w:p w:rsidR="003171D1" w:rsidRPr="0087738A" w:rsidRDefault="003171D1" w:rsidP="003406F2">
      <w:pPr>
        <w:pStyle w:val="Paragraphedeliste1"/>
        <w:numPr>
          <w:ilvl w:val="0"/>
          <w:numId w:val="0"/>
        </w:numPr>
        <w:spacing w:line="276" w:lineRule="auto"/>
        <w:ind w:left="720" w:hanging="360"/>
        <w:rPr>
          <w:b/>
          <w:sz w:val="23"/>
          <w:szCs w:val="23"/>
        </w:rPr>
      </w:pPr>
    </w:p>
    <w:p w:rsidR="005147F2" w:rsidRPr="0087738A" w:rsidRDefault="005147F2" w:rsidP="003406F2">
      <w:pPr>
        <w:pStyle w:val="Paragraphedeliste1"/>
        <w:numPr>
          <w:ilvl w:val="0"/>
          <w:numId w:val="0"/>
        </w:numPr>
        <w:spacing w:line="276" w:lineRule="auto"/>
        <w:ind w:left="720" w:hanging="360"/>
        <w:rPr>
          <w:sz w:val="23"/>
          <w:szCs w:val="23"/>
        </w:rPr>
      </w:pPr>
    </w:p>
    <w:p w:rsidR="00266404" w:rsidRPr="0087738A" w:rsidRDefault="00266404" w:rsidP="003406F2">
      <w:pPr>
        <w:pStyle w:val="Paragraphedeliste1"/>
        <w:numPr>
          <w:ilvl w:val="0"/>
          <w:numId w:val="0"/>
        </w:numPr>
        <w:spacing w:line="276" w:lineRule="auto"/>
        <w:ind w:left="720" w:hanging="360"/>
        <w:rPr>
          <w:sz w:val="23"/>
          <w:szCs w:val="23"/>
        </w:rPr>
      </w:pPr>
    </w:p>
    <w:p w:rsidR="00266404" w:rsidRPr="0087738A" w:rsidRDefault="00266404" w:rsidP="003406F2">
      <w:pPr>
        <w:pStyle w:val="Paragraphedeliste1"/>
        <w:numPr>
          <w:ilvl w:val="0"/>
          <w:numId w:val="0"/>
        </w:numPr>
        <w:spacing w:line="276" w:lineRule="auto"/>
        <w:ind w:left="720" w:hanging="360"/>
        <w:rPr>
          <w:sz w:val="23"/>
          <w:szCs w:val="23"/>
        </w:rPr>
      </w:pPr>
    </w:p>
    <w:p w:rsidR="00266404" w:rsidRPr="0087738A" w:rsidRDefault="00266404" w:rsidP="003406F2">
      <w:pPr>
        <w:pStyle w:val="Paragraphedeliste1"/>
        <w:numPr>
          <w:ilvl w:val="0"/>
          <w:numId w:val="0"/>
        </w:numPr>
        <w:spacing w:line="276" w:lineRule="auto"/>
        <w:ind w:left="720" w:hanging="360"/>
        <w:jc w:val="right"/>
        <w:rPr>
          <w:b/>
          <w:sz w:val="23"/>
          <w:szCs w:val="23"/>
        </w:rPr>
      </w:pPr>
      <w:r w:rsidRPr="0087738A">
        <w:rPr>
          <w:b/>
          <w:sz w:val="23"/>
          <w:szCs w:val="23"/>
        </w:rPr>
        <w:t>Sous tous réserves</w:t>
      </w:r>
    </w:p>
    <w:sectPr w:rsidR="00266404" w:rsidRPr="0087738A" w:rsidSect="00801C8E">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66" w:rsidRDefault="003F5B66" w:rsidP="00C55882">
      <w:pPr>
        <w:spacing w:after="0" w:line="240" w:lineRule="auto"/>
      </w:pPr>
      <w:r>
        <w:separator/>
      </w:r>
    </w:p>
  </w:endnote>
  <w:endnote w:type="continuationSeparator" w:id="0">
    <w:p w:rsidR="003F5B66" w:rsidRDefault="003F5B66" w:rsidP="00C5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484133895"/>
      <w:docPartObj>
        <w:docPartGallery w:val="Page Numbers (Bottom of Page)"/>
        <w:docPartUnique/>
      </w:docPartObj>
    </w:sdtPr>
    <w:sdtEndPr/>
    <w:sdtContent>
      <w:p w:rsidR="00A774D8" w:rsidRPr="00A774D8" w:rsidRDefault="00A774D8">
        <w:pPr>
          <w:pStyle w:val="Pieddepage"/>
          <w:jc w:val="center"/>
          <w:rPr>
            <w:rFonts w:ascii="Garamond" w:hAnsi="Garamond"/>
          </w:rPr>
        </w:pPr>
        <w:r w:rsidRPr="00A774D8">
          <w:rPr>
            <w:rFonts w:ascii="Garamond" w:hAnsi="Garamond"/>
          </w:rPr>
          <w:fldChar w:fldCharType="begin"/>
        </w:r>
        <w:r w:rsidRPr="00A774D8">
          <w:rPr>
            <w:rFonts w:ascii="Garamond" w:hAnsi="Garamond"/>
          </w:rPr>
          <w:instrText>PAGE   \* MERGEFORMAT</w:instrText>
        </w:r>
        <w:r w:rsidRPr="00A774D8">
          <w:rPr>
            <w:rFonts w:ascii="Garamond" w:hAnsi="Garamond"/>
          </w:rPr>
          <w:fldChar w:fldCharType="separate"/>
        </w:r>
        <w:r w:rsidR="00BC0D60">
          <w:rPr>
            <w:rFonts w:ascii="Garamond" w:hAnsi="Garamond"/>
            <w:noProof/>
          </w:rPr>
          <w:t>5</w:t>
        </w:r>
        <w:r w:rsidRPr="00A774D8">
          <w:rPr>
            <w:rFonts w:ascii="Garamond" w:hAnsi="Garamond"/>
          </w:rPr>
          <w:fldChar w:fldCharType="end"/>
        </w:r>
      </w:p>
    </w:sdtContent>
  </w:sdt>
  <w:p w:rsidR="00266404" w:rsidRPr="00A774D8" w:rsidRDefault="00266404">
    <w:pPr>
      <w:pStyle w:val="Pieddepage"/>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66" w:rsidRDefault="003F5B66" w:rsidP="00C55882">
      <w:pPr>
        <w:spacing w:after="0" w:line="240" w:lineRule="auto"/>
      </w:pPr>
      <w:r>
        <w:separator/>
      </w:r>
    </w:p>
  </w:footnote>
  <w:footnote w:type="continuationSeparator" w:id="0">
    <w:p w:rsidR="003F5B66" w:rsidRDefault="003F5B66" w:rsidP="00C55882">
      <w:pPr>
        <w:spacing w:after="0" w:line="240" w:lineRule="auto"/>
      </w:pPr>
      <w:r>
        <w:continuationSeparator/>
      </w:r>
    </w:p>
  </w:footnote>
  <w:footnote w:id="1">
    <w:p w:rsidR="00BE65C4" w:rsidRPr="005F75BF" w:rsidRDefault="00BE65C4">
      <w:pPr>
        <w:pStyle w:val="Notedebasdepage"/>
        <w:rPr>
          <w:rFonts w:ascii="Garamond" w:hAnsi="Garamond"/>
          <w:sz w:val="18"/>
          <w:szCs w:val="18"/>
        </w:rPr>
      </w:pPr>
      <w:r w:rsidRPr="005F75BF">
        <w:rPr>
          <w:rStyle w:val="Appelnotedebasdep"/>
          <w:rFonts w:ascii="Garamond" w:hAnsi="Garamond"/>
          <w:sz w:val="18"/>
          <w:szCs w:val="18"/>
        </w:rPr>
        <w:footnoteRef/>
      </w:r>
      <w:r w:rsidRPr="005F75BF">
        <w:rPr>
          <w:rFonts w:ascii="Garamond" w:hAnsi="Garamond"/>
          <w:sz w:val="18"/>
          <w:szCs w:val="18"/>
        </w:rPr>
        <w:t xml:space="preserve"> Crim. 24 janvier 2007 : Bull. n° 20.</w:t>
      </w:r>
    </w:p>
  </w:footnote>
  <w:footnote w:id="2">
    <w:p w:rsidR="005F75BF" w:rsidRPr="005F75BF" w:rsidRDefault="005F75BF">
      <w:pPr>
        <w:pStyle w:val="Notedebasdepage"/>
        <w:rPr>
          <w:rFonts w:ascii="Garamond" w:hAnsi="Garamond"/>
          <w:sz w:val="18"/>
          <w:szCs w:val="18"/>
        </w:rPr>
      </w:pPr>
      <w:r w:rsidRPr="005F75BF">
        <w:rPr>
          <w:rStyle w:val="Appelnotedebasdep"/>
          <w:rFonts w:ascii="Garamond" w:hAnsi="Garamond"/>
          <w:sz w:val="18"/>
          <w:szCs w:val="18"/>
        </w:rPr>
        <w:footnoteRef/>
      </w:r>
      <w:r w:rsidRPr="005F75BF">
        <w:rPr>
          <w:rFonts w:ascii="Garamond" w:hAnsi="Garamond"/>
          <w:sz w:val="18"/>
          <w:szCs w:val="18"/>
        </w:rPr>
        <w:t xml:space="preserve"> Crim. 31</w:t>
      </w:r>
      <w:r w:rsidR="0076546F">
        <w:rPr>
          <w:rFonts w:ascii="Garamond" w:hAnsi="Garamond"/>
          <w:sz w:val="18"/>
          <w:szCs w:val="18"/>
        </w:rPr>
        <w:t xml:space="preserve"> </w:t>
      </w:r>
      <w:r w:rsidRPr="005F75BF">
        <w:rPr>
          <w:rFonts w:ascii="Garamond" w:hAnsi="Garamond"/>
          <w:sz w:val="18"/>
          <w:szCs w:val="18"/>
        </w:rPr>
        <w:t>octobre 2017 : n° 17-80872.</w:t>
      </w:r>
    </w:p>
  </w:footnote>
  <w:footnote w:id="3">
    <w:p w:rsidR="00C800FD" w:rsidRPr="005F75BF" w:rsidRDefault="00C800FD">
      <w:pPr>
        <w:pStyle w:val="Notedebasdepage"/>
        <w:rPr>
          <w:rFonts w:ascii="Garamond" w:hAnsi="Garamond"/>
          <w:sz w:val="18"/>
          <w:szCs w:val="18"/>
        </w:rPr>
      </w:pPr>
      <w:r w:rsidRPr="005F75BF">
        <w:rPr>
          <w:rStyle w:val="Appelnotedebasdep"/>
          <w:rFonts w:ascii="Garamond" w:hAnsi="Garamond"/>
          <w:sz w:val="18"/>
          <w:szCs w:val="18"/>
        </w:rPr>
        <w:footnoteRef/>
      </w:r>
      <w:r w:rsidRPr="005F75BF">
        <w:rPr>
          <w:rFonts w:ascii="Garamond" w:hAnsi="Garamond"/>
          <w:sz w:val="18"/>
          <w:szCs w:val="18"/>
        </w:rPr>
        <w:t xml:space="preserve"> </w:t>
      </w:r>
      <w:r w:rsidR="00237096">
        <w:rPr>
          <w:rFonts w:ascii="Garamond" w:hAnsi="Garamond"/>
          <w:sz w:val="18"/>
          <w:szCs w:val="18"/>
        </w:rPr>
        <w:t>sous</w:t>
      </w:r>
      <w:r w:rsidRPr="005F75BF">
        <w:rPr>
          <w:rFonts w:ascii="Garamond" w:hAnsi="Garamond"/>
          <w:sz w:val="18"/>
          <w:szCs w:val="18"/>
        </w:rPr>
        <w:t xml:space="preserve"> Crim. 24 janvier 2007 : Bull. n° 20 ; D. 2007. AJ. 729 ; AJ pénal 2007. 143, obs. G. Roussel</w:t>
      </w:r>
      <w:r w:rsidR="00237096">
        <w:rPr>
          <w:rFonts w:ascii="Garamond" w:hAnsi="Garamond"/>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0EC1"/>
    <w:multiLevelType w:val="hybridMultilevel"/>
    <w:tmpl w:val="EB5EF52A"/>
    <w:lvl w:ilvl="0" w:tplc="36D628C8">
      <w:start w:val="1"/>
      <w:numFmt w:val="decimal"/>
      <w:pStyle w:val="ParagrapheList"/>
      <w:lvlText w:val="%1."/>
      <w:lvlJc w:val="left"/>
      <w:pPr>
        <w:ind w:left="720" w:hanging="360"/>
      </w:pPr>
      <w:rPr>
        <w:rFonts w:ascii="Garamond" w:hAnsi="Garamond" w:hint="default"/>
        <w:b/>
        <w:i w:val="0"/>
        <w:sz w:val="18"/>
        <w:szCs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F12B8A"/>
    <w:multiLevelType w:val="hybridMultilevel"/>
    <w:tmpl w:val="10CEF89A"/>
    <w:lvl w:ilvl="0" w:tplc="3E827478">
      <w:start w:val="1"/>
      <w:numFmt w:val="decimal"/>
      <w:lvlText w:val="II.%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20DF4187"/>
    <w:multiLevelType w:val="hybridMultilevel"/>
    <w:tmpl w:val="7A6E6B2C"/>
    <w:lvl w:ilvl="0" w:tplc="E162FF5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6150D22"/>
    <w:multiLevelType w:val="hybridMultilevel"/>
    <w:tmpl w:val="A2120302"/>
    <w:lvl w:ilvl="0" w:tplc="745680D4">
      <w:start w:val="1"/>
      <w:numFmt w:val="bullet"/>
      <w:lvlText w:val="-"/>
      <w:lvlJc w:val="left"/>
      <w:pPr>
        <w:ind w:left="4122" w:hanging="360"/>
      </w:pPr>
      <w:rPr>
        <w:rFonts w:ascii="Garamond" w:eastAsia="Times New Roman" w:hAnsi="Garamond" w:cs="Arial" w:hint="default"/>
      </w:rPr>
    </w:lvl>
    <w:lvl w:ilvl="1" w:tplc="040C0003">
      <w:start w:val="1"/>
      <w:numFmt w:val="bullet"/>
      <w:lvlText w:val="o"/>
      <w:lvlJc w:val="left"/>
      <w:pPr>
        <w:ind w:left="4842" w:hanging="360"/>
      </w:pPr>
      <w:rPr>
        <w:rFonts w:ascii="Courier New" w:hAnsi="Courier New" w:cs="Courier New" w:hint="default"/>
      </w:rPr>
    </w:lvl>
    <w:lvl w:ilvl="2" w:tplc="040C0005" w:tentative="1">
      <w:start w:val="1"/>
      <w:numFmt w:val="bullet"/>
      <w:lvlText w:val=""/>
      <w:lvlJc w:val="left"/>
      <w:pPr>
        <w:ind w:left="5562" w:hanging="360"/>
      </w:pPr>
      <w:rPr>
        <w:rFonts w:ascii="Wingdings" w:hAnsi="Wingdings" w:hint="default"/>
      </w:rPr>
    </w:lvl>
    <w:lvl w:ilvl="3" w:tplc="040C0001" w:tentative="1">
      <w:start w:val="1"/>
      <w:numFmt w:val="bullet"/>
      <w:lvlText w:val=""/>
      <w:lvlJc w:val="left"/>
      <w:pPr>
        <w:ind w:left="6282" w:hanging="360"/>
      </w:pPr>
      <w:rPr>
        <w:rFonts w:ascii="Symbol" w:hAnsi="Symbol" w:hint="default"/>
      </w:rPr>
    </w:lvl>
    <w:lvl w:ilvl="4" w:tplc="040C0003" w:tentative="1">
      <w:start w:val="1"/>
      <w:numFmt w:val="bullet"/>
      <w:lvlText w:val="o"/>
      <w:lvlJc w:val="left"/>
      <w:pPr>
        <w:ind w:left="7002" w:hanging="360"/>
      </w:pPr>
      <w:rPr>
        <w:rFonts w:ascii="Courier New" w:hAnsi="Courier New" w:cs="Courier New" w:hint="default"/>
      </w:rPr>
    </w:lvl>
    <w:lvl w:ilvl="5" w:tplc="040C0005" w:tentative="1">
      <w:start w:val="1"/>
      <w:numFmt w:val="bullet"/>
      <w:lvlText w:val=""/>
      <w:lvlJc w:val="left"/>
      <w:pPr>
        <w:ind w:left="7722" w:hanging="360"/>
      </w:pPr>
      <w:rPr>
        <w:rFonts w:ascii="Wingdings" w:hAnsi="Wingdings" w:hint="default"/>
      </w:rPr>
    </w:lvl>
    <w:lvl w:ilvl="6" w:tplc="040C0001" w:tentative="1">
      <w:start w:val="1"/>
      <w:numFmt w:val="bullet"/>
      <w:lvlText w:val=""/>
      <w:lvlJc w:val="left"/>
      <w:pPr>
        <w:ind w:left="8442" w:hanging="360"/>
      </w:pPr>
      <w:rPr>
        <w:rFonts w:ascii="Symbol" w:hAnsi="Symbol" w:hint="default"/>
      </w:rPr>
    </w:lvl>
    <w:lvl w:ilvl="7" w:tplc="040C0003" w:tentative="1">
      <w:start w:val="1"/>
      <w:numFmt w:val="bullet"/>
      <w:lvlText w:val="o"/>
      <w:lvlJc w:val="left"/>
      <w:pPr>
        <w:ind w:left="9162" w:hanging="360"/>
      </w:pPr>
      <w:rPr>
        <w:rFonts w:ascii="Courier New" w:hAnsi="Courier New" w:cs="Courier New" w:hint="default"/>
      </w:rPr>
    </w:lvl>
    <w:lvl w:ilvl="8" w:tplc="040C0005" w:tentative="1">
      <w:start w:val="1"/>
      <w:numFmt w:val="bullet"/>
      <w:lvlText w:val=""/>
      <w:lvlJc w:val="left"/>
      <w:pPr>
        <w:ind w:left="9882" w:hanging="360"/>
      </w:pPr>
      <w:rPr>
        <w:rFonts w:ascii="Wingdings" w:hAnsi="Wingdings" w:hint="default"/>
      </w:rPr>
    </w:lvl>
  </w:abstractNum>
  <w:abstractNum w:abstractNumId="4" w15:restartNumberingAfterBreak="0">
    <w:nsid w:val="362E2F01"/>
    <w:multiLevelType w:val="hybridMultilevel"/>
    <w:tmpl w:val="9A6A54F2"/>
    <w:lvl w:ilvl="0" w:tplc="B1DCB498">
      <w:start w:val="1"/>
      <w:numFmt w:val="bullet"/>
      <w:lvlText w:val="-"/>
      <w:lvlJc w:val="left"/>
      <w:pPr>
        <w:ind w:left="1065" w:hanging="360"/>
      </w:pPr>
      <w:rPr>
        <w:rFonts w:ascii="Book Antiqua" w:eastAsia="Times New Roman" w:hAnsi="Book Antiqua" w:cs="Courier New"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3C670C61"/>
    <w:multiLevelType w:val="hybridMultilevel"/>
    <w:tmpl w:val="0E760B66"/>
    <w:lvl w:ilvl="0" w:tplc="877069B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5B85C5B"/>
    <w:multiLevelType w:val="hybridMultilevel"/>
    <w:tmpl w:val="74845260"/>
    <w:lvl w:ilvl="0" w:tplc="1566682A">
      <w:start w:val="1"/>
      <w:numFmt w:val="upperRoman"/>
      <w:lvlText w:val="%1."/>
      <w:lvlJc w:val="left"/>
      <w:pPr>
        <w:ind w:left="1440" w:hanging="720"/>
      </w:pPr>
      <w:rPr>
        <w:rFonts w:hint="default"/>
      </w:rPr>
    </w:lvl>
    <w:lvl w:ilvl="1" w:tplc="3E827478">
      <w:start w:val="1"/>
      <w:numFmt w:val="decimal"/>
      <w:lvlText w:val="II.%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B677553"/>
    <w:multiLevelType w:val="hybridMultilevel"/>
    <w:tmpl w:val="50E83532"/>
    <w:lvl w:ilvl="0" w:tplc="22AA3128">
      <w:start w:val="1"/>
      <w:numFmt w:val="bullet"/>
      <w:pStyle w:val="TiretList"/>
      <w:lvlText w:val=""/>
      <w:lvlJc w:val="left"/>
      <w:pPr>
        <w:ind w:left="1069"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702A4FDD"/>
    <w:multiLevelType w:val="hybridMultilevel"/>
    <w:tmpl w:val="EBCE04D6"/>
    <w:lvl w:ilvl="0" w:tplc="F81CDE08">
      <w:start w:val="1"/>
      <w:numFmt w:val="decimal"/>
      <w:pStyle w:val="Corpsdetextenumrot"/>
      <w:lvlText w:val="%1."/>
      <w:lvlJc w:val="left"/>
      <w:pPr>
        <w:ind w:left="360" w:hanging="360"/>
      </w:pPr>
      <w:rPr>
        <w:b/>
        <w:sz w:val="18"/>
        <w:szCs w:val="18"/>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9" w15:restartNumberingAfterBreak="0">
    <w:nsid w:val="7F907FE6"/>
    <w:multiLevelType w:val="hybridMultilevel"/>
    <w:tmpl w:val="8B54BA06"/>
    <w:lvl w:ilvl="0" w:tplc="1CD8F8F0">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0"/>
  </w:num>
  <w:num w:numId="5">
    <w:abstractNumId w:val="0"/>
  </w:num>
  <w:num w:numId="6">
    <w:abstractNumId w:val="5"/>
  </w:num>
  <w:num w:numId="7">
    <w:abstractNumId w:val="6"/>
  </w:num>
  <w:num w:numId="8">
    <w:abstractNumId w:val="1"/>
  </w:num>
  <w:num w:numId="9">
    <w:abstractNumId w:val="0"/>
  </w:num>
  <w:num w:numId="10">
    <w:abstractNumId w:val="0"/>
  </w:num>
  <w:num w:numId="11">
    <w:abstractNumId w:val="0"/>
  </w:num>
  <w:num w:numId="12">
    <w:abstractNumId w:val="8"/>
  </w:num>
  <w:num w:numId="13">
    <w:abstractNumId w:val="0"/>
  </w:num>
  <w:num w:numId="14">
    <w:abstractNumId w:val="0"/>
  </w:num>
  <w:num w:numId="15">
    <w:abstractNumId w:val="4"/>
  </w:num>
  <w:num w:numId="16">
    <w:abstractNumId w:val="3"/>
  </w:num>
  <w:num w:numId="17">
    <w:abstractNumId w:val="0"/>
  </w:num>
  <w:num w:numId="18">
    <w:abstractNumId w:val="8"/>
  </w:num>
  <w:num w:numId="19">
    <w:abstractNumId w:val="0"/>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AB"/>
    <w:rsid w:val="00000B68"/>
    <w:rsid w:val="0000761B"/>
    <w:rsid w:val="00042A33"/>
    <w:rsid w:val="00062398"/>
    <w:rsid w:val="000B0748"/>
    <w:rsid w:val="000C7E06"/>
    <w:rsid w:val="000E5881"/>
    <w:rsid w:val="00104C71"/>
    <w:rsid w:val="001126B0"/>
    <w:rsid w:val="001129EA"/>
    <w:rsid w:val="00151CAB"/>
    <w:rsid w:val="00155A4F"/>
    <w:rsid w:val="00180E17"/>
    <w:rsid w:val="00182413"/>
    <w:rsid w:val="001949CB"/>
    <w:rsid w:val="001D426C"/>
    <w:rsid w:val="00205AB9"/>
    <w:rsid w:val="002136D8"/>
    <w:rsid w:val="0023078E"/>
    <w:rsid w:val="00237096"/>
    <w:rsid w:val="00245E32"/>
    <w:rsid w:val="00266404"/>
    <w:rsid w:val="002A4495"/>
    <w:rsid w:val="002B11DA"/>
    <w:rsid w:val="002C306A"/>
    <w:rsid w:val="00304175"/>
    <w:rsid w:val="003171D1"/>
    <w:rsid w:val="003217E5"/>
    <w:rsid w:val="003406F2"/>
    <w:rsid w:val="003546D2"/>
    <w:rsid w:val="00393590"/>
    <w:rsid w:val="003A6D08"/>
    <w:rsid w:val="003A7614"/>
    <w:rsid w:val="003F1FCE"/>
    <w:rsid w:val="003F5B66"/>
    <w:rsid w:val="00465CFF"/>
    <w:rsid w:val="004D67AF"/>
    <w:rsid w:val="0050722E"/>
    <w:rsid w:val="00512974"/>
    <w:rsid w:val="005147F2"/>
    <w:rsid w:val="0053785B"/>
    <w:rsid w:val="00573926"/>
    <w:rsid w:val="005C3EAA"/>
    <w:rsid w:val="005F75BF"/>
    <w:rsid w:val="00603A96"/>
    <w:rsid w:val="00603BDC"/>
    <w:rsid w:val="006461B9"/>
    <w:rsid w:val="00653FB6"/>
    <w:rsid w:val="00654F07"/>
    <w:rsid w:val="00666D9B"/>
    <w:rsid w:val="006B319A"/>
    <w:rsid w:val="006D6C1E"/>
    <w:rsid w:val="0076546F"/>
    <w:rsid w:val="0077554B"/>
    <w:rsid w:val="00801C8E"/>
    <w:rsid w:val="00830A28"/>
    <w:rsid w:val="0087738A"/>
    <w:rsid w:val="008E4195"/>
    <w:rsid w:val="00951DE4"/>
    <w:rsid w:val="00972C50"/>
    <w:rsid w:val="00984325"/>
    <w:rsid w:val="0099124F"/>
    <w:rsid w:val="00A33273"/>
    <w:rsid w:val="00A774D8"/>
    <w:rsid w:val="00A81244"/>
    <w:rsid w:val="00AA70AB"/>
    <w:rsid w:val="00AB22F1"/>
    <w:rsid w:val="00AC71AE"/>
    <w:rsid w:val="00B22774"/>
    <w:rsid w:val="00B42DCC"/>
    <w:rsid w:val="00B81996"/>
    <w:rsid w:val="00BA2E46"/>
    <w:rsid w:val="00BC0D60"/>
    <w:rsid w:val="00BC28B8"/>
    <w:rsid w:val="00BD6837"/>
    <w:rsid w:val="00BE1273"/>
    <w:rsid w:val="00BE65C4"/>
    <w:rsid w:val="00C1739E"/>
    <w:rsid w:val="00C4241B"/>
    <w:rsid w:val="00C45C86"/>
    <w:rsid w:val="00C55882"/>
    <w:rsid w:val="00C67AC8"/>
    <w:rsid w:val="00C708F8"/>
    <w:rsid w:val="00C800FD"/>
    <w:rsid w:val="00CD0550"/>
    <w:rsid w:val="00CD33F3"/>
    <w:rsid w:val="00D70FB4"/>
    <w:rsid w:val="00D83D6D"/>
    <w:rsid w:val="00D97F25"/>
    <w:rsid w:val="00DB6A58"/>
    <w:rsid w:val="00E16F95"/>
    <w:rsid w:val="00E710D7"/>
    <w:rsid w:val="00E94D0B"/>
    <w:rsid w:val="00E955B4"/>
    <w:rsid w:val="00EA5497"/>
    <w:rsid w:val="00F1660C"/>
    <w:rsid w:val="00F25595"/>
    <w:rsid w:val="00F645EA"/>
    <w:rsid w:val="00F7196B"/>
    <w:rsid w:val="00F95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3D78"/>
  <w15:chartTrackingRefBased/>
  <w15:docId w15:val="{DEC7F8A0-80F9-42DD-9270-D6401E9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AA70AB"/>
    <w:pPr>
      <w:spacing w:after="140" w:line="288" w:lineRule="auto"/>
      <w:jc w:val="both"/>
    </w:pPr>
    <w:rPr>
      <w:rFonts w:ascii="Arial" w:eastAsia="Times New Roman" w:hAnsi="Arial" w:cs="Times New Roman"/>
      <w:kern w:val="20"/>
      <w:sz w:val="20"/>
      <w:szCs w:val="24"/>
      <w:lang w:eastAsia="en-GB"/>
    </w:rPr>
  </w:style>
  <w:style w:type="character" w:customStyle="1" w:styleId="BodyChar">
    <w:name w:val="Body Char"/>
    <w:link w:val="Body"/>
    <w:locked/>
    <w:rsid w:val="00AA70AB"/>
    <w:rPr>
      <w:rFonts w:ascii="Arial" w:eastAsia="Times New Roman" w:hAnsi="Arial" w:cs="Times New Roman"/>
      <w:kern w:val="20"/>
      <w:sz w:val="20"/>
      <w:szCs w:val="24"/>
      <w:lang w:eastAsia="en-GB"/>
    </w:rPr>
  </w:style>
  <w:style w:type="paragraph" w:styleId="Paragraphedeliste">
    <w:name w:val="List Paragraph"/>
    <w:basedOn w:val="Normal"/>
    <w:link w:val="ParagraphedelisteCar"/>
    <w:uiPriority w:val="34"/>
    <w:qFormat/>
    <w:rsid w:val="00AA70AB"/>
    <w:pPr>
      <w:ind w:left="720"/>
      <w:contextualSpacing/>
    </w:pPr>
  </w:style>
  <w:style w:type="paragraph" w:customStyle="1" w:styleId="ParagrapheList">
    <w:name w:val="Paragraphe List"/>
    <w:basedOn w:val="Paragraphedeliste"/>
    <w:rsid w:val="00AA70AB"/>
    <w:pPr>
      <w:numPr>
        <w:numId w:val="1"/>
      </w:numPr>
      <w:jc w:val="both"/>
    </w:pPr>
    <w:rPr>
      <w:rFonts w:ascii="Garamond" w:hAnsi="Garamond"/>
    </w:rPr>
  </w:style>
  <w:style w:type="paragraph" w:customStyle="1" w:styleId="Paragraphenormal">
    <w:name w:val="Paragraphe normal"/>
    <w:basedOn w:val="Paragraphedeliste"/>
    <w:link w:val="ParagraphenormalCar"/>
    <w:qFormat/>
    <w:rsid w:val="00AA70AB"/>
    <w:pPr>
      <w:jc w:val="both"/>
    </w:pPr>
    <w:rPr>
      <w:rFonts w:ascii="Garamond" w:hAnsi="Garamond"/>
    </w:rPr>
  </w:style>
  <w:style w:type="character" w:customStyle="1" w:styleId="ParagraphedelisteCar">
    <w:name w:val="Paragraphe de liste Car"/>
    <w:basedOn w:val="Policepardfaut"/>
    <w:link w:val="Paragraphedeliste"/>
    <w:uiPriority w:val="34"/>
    <w:rsid w:val="00AA70AB"/>
  </w:style>
  <w:style w:type="paragraph" w:customStyle="1" w:styleId="TiretList">
    <w:name w:val="Tiret List"/>
    <w:basedOn w:val="Paragraphedeliste"/>
    <w:link w:val="TiretListCar"/>
    <w:qFormat/>
    <w:rsid w:val="00AA70AB"/>
    <w:pPr>
      <w:numPr>
        <w:numId w:val="2"/>
      </w:numPr>
      <w:jc w:val="both"/>
    </w:pPr>
    <w:rPr>
      <w:rFonts w:ascii="Garamond" w:hAnsi="Garamond"/>
    </w:rPr>
  </w:style>
  <w:style w:type="character" w:customStyle="1" w:styleId="ParagraphenormalCar">
    <w:name w:val="Paragraphe normal Car"/>
    <w:basedOn w:val="ParagraphedelisteCar"/>
    <w:link w:val="Paragraphenormal"/>
    <w:rsid w:val="00AA70AB"/>
    <w:rPr>
      <w:rFonts w:ascii="Garamond" w:hAnsi="Garamond"/>
    </w:rPr>
  </w:style>
  <w:style w:type="paragraph" w:customStyle="1" w:styleId="Paragraphedeliste1">
    <w:name w:val="Paragraphe de liste1"/>
    <w:basedOn w:val="ParagrapheList"/>
    <w:link w:val="ListParagraphCar"/>
    <w:qFormat/>
    <w:rsid w:val="00AA70AB"/>
  </w:style>
  <w:style w:type="character" w:customStyle="1" w:styleId="TiretListCar">
    <w:name w:val="Tiret List Car"/>
    <w:basedOn w:val="ParagraphedelisteCar"/>
    <w:link w:val="TiretList"/>
    <w:rsid w:val="00AA70AB"/>
    <w:rPr>
      <w:rFonts w:ascii="Garamond" w:hAnsi="Garamond"/>
    </w:rPr>
  </w:style>
  <w:style w:type="character" w:customStyle="1" w:styleId="ListParagraphCar">
    <w:name w:val="List Paragraph Car"/>
    <w:basedOn w:val="Policepardfaut"/>
    <w:link w:val="Paragraphedeliste1"/>
    <w:rsid w:val="00AA70AB"/>
    <w:rPr>
      <w:rFonts w:ascii="Garamond" w:hAnsi="Garamond"/>
    </w:rPr>
  </w:style>
  <w:style w:type="paragraph" w:styleId="Notedebasdepage">
    <w:name w:val="footnote text"/>
    <w:basedOn w:val="Normal"/>
    <w:link w:val="NotedebasdepageCar"/>
    <w:uiPriority w:val="99"/>
    <w:semiHidden/>
    <w:unhideWhenUsed/>
    <w:rsid w:val="00C558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5882"/>
    <w:rPr>
      <w:sz w:val="20"/>
      <w:szCs w:val="20"/>
    </w:rPr>
  </w:style>
  <w:style w:type="character" w:styleId="Appelnotedebasdep">
    <w:name w:val="footnote reference"/>
    <w:basedOn w:val="Policepardfaut"/>
    <w:uiPriority w:val="99"/>
    <w:semiHidden/>
    <w:unhideWhenUsed/>
    <w:rsid w:val="00C55882"/>
    <w:rPr>
      <w:vertAlign w:val="superscript"/>
    </w:rPr>
  </w:style>
  <w:style w:type="paragraph" w:styleId="En-tte">
    <w:name w:val="header"/>
    <w:basedOn w:val="Normal"/>
    <w:link w:val="En-tteCar"/>
    <w:uiPriority w:val="99"/>
    <w:unhideWhenUsed/>
    <w:rsid w:val="00266404"/>
    <w:pPr>
      <w:tabs>
        <w:tab w:val="center" w:pos="4536"/>
        <w:tab w:val="right" w:pos="9072"/>
      </w:tabs>
      <w:spacing w:after="0" w:line="240" w:lineRule="auto"/>
    </w:pPr>
  </w:style>
  <w:style w:type="character" w:customStyle="1" w:styleId="En-tteCar">
    <w:name w:val="En-tête Car"/>
    <w:basedOn w:val="Policepardfaut"/>
    <w:link w:val="En-tte"/>
    <w:uiPriority w:val="99"/>
    <w:rsid w:val="00266404"/>
  </w:style>
  <w:style w:type="paragraph" w:styleId="Pieddepage">
    <w:name w:val="footer"/>
    <w:basedOn w:val="Normal"/>
    <w:link w:val="PieddepageCar"/>
    <w:uiPriority w:val="99"/>
    <w:unhideWhenUsed/>
    <w:rsid w:val="002664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404"/>
  </w:style>
  <w:style w:type="paragraph" w:styleId="Sansinterligne">
    <w:name w:val="No Spacing"/>
    <w:link w:val="SansinterligneCar"/>
    <w:uiPriority w:val="1"/>
    <w:qFormat/>
    <w:rsid w:val="00801C8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01C8E"/>
    <w:rPr>
      <w:rFonts w:eastAsiaTheme="minorEastAsia"/>
      <w:lang w:eastAsia="fr-FR"/>
    </w:rPr>
  </w:style>
  <w:style w:type="paragraph" w:customStyle="1" w:styleId="Corpsdetextenumrot">
    <w:name w:val="Corps de texte numéroté"/>
    <w:basedOn w:val="Normal"/>
    <w:link w:val="CorpsdetextenumrotCar"/>
    <w:qFormat/>
    <w:rsid w:val="00104C71"/>
    <w:pPr>
      <w:keepNext/>
      <w:keepLines/>
      <w:numPr>
        <w:numId w:val="12"/>
      </w:numPr>
      <w:spacing w:after="140" w:line="290" w:lineRule="auto"/>
      <w:jc w:val="both"/>
      <w:outlineLvl w:val="3"/>
    </w:pPr>
    <w:rPr>
      <w:rFonts w:ascii="Calibri" w:eastAsia="Times New Roman" w:hAnsi="Calibri" w:cs="Times New Roman"/>
      <w:kern w:val="20"/>
      <w:sz w:val="21"/>
      <w:szCs w:val="24"/>
      <w:lang w:eastAsia="en-GB"/>
    </w:rPr>
  </w:style>
  <w:style w:type="character" w:customStyle="1" w:styleId="CorpsdetextenumrotCar">
    <w:name w:val="Corps de texte numéroté Car"/>
    <w:basedOn w:val="Policepardfaut"/>
    <w:link w:val="Corpsdetextenumrot"/>
    <w:rsid w:val="00104C71"/>
    <w:rPr>
      <w:rFonts w:ascii="Calibri" w:eastAsia="Times New Roman" w:hAnsi="Calibri" w:cs="Times New Roman"/>
      <w:kern w:val="20"/>
      <w:sz w:val="21"/>
      <w:szCs w:val="24"/>
      <w:lang w:eastAsia="en-GB"/>
    </w:rPr>
  </w:style>
  <w:style w:type="paragraph" w:styleId="NormalWeb">
    <w:name w:val="Normal (Web)"/>
    <w:basedOn w:val="Normal"/>
    <w:uiPriority w:val="99"/>
    <w:unhideWhenUsed/>
    <w:rsid w:val="00E955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80628">
      <w:bodyDiv w:val="1"/>
      <w:marLeft w:val="0"/>
      <w:marRight w:val="0"/>
      <w:marTop w:val="0"/>
      <w:marBottom w:val="0"/>
      <w:divBdr>
        <w:top w:val="none" w:sz="0" w:space="0" w:color="auto"/>
        <w:left w:val="none" w:sz="0" w:space="0" w:color="auto"/>
        <w:bottom w:val="none" w:sz="0" w:space="0" w:color="auto"/>
        <w:right w:val="none" w:sz="0" w:space="0" w:color="auto"/>
      </w:divBdr>
    </w:div>
    <w:div w:id="19181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affichCodeArticle.do?cidTexte=LEGITEXT000006071154&amp;idArticle=LEGIARTI000006575241&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1206</Words>
  <Characters>6639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Bougartchev Moyne &amp; Associés</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HAERI</dc:creator>
  <cp:keywords/>
  <dc:description/>
  <cp:lastModifiedBy>Nima HAERI</cp:lastModifiedBy>
  <cp:revision>21</cp:revision>
  <cp:lastPrinted>2018-12-07T16:36:00Z</cp:lastPrinted>
  <dcterms:created xsi:type="dcterms:W3CDTF">2018-10-23T19:09:00Z</dcterms:created>
  <dcterms:modified xsi:type="dcterms:W3CDTF">2018-12-19T15:04:00Z</dcterms:modified>
</cp:coreProperties>
</file>